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D5" w:rsidRDefault="00A61804" w:rsidP="007B1BA8">
      <w:pPr>
        <w:rPr>
          <w:bCs/>
        </w:rPr>
      </w:pPr>
      <w:r w:rsidRPr="00DB49B6">
        <w:rPr>
          <w:bCs/>
          <w:color w:val="1F497D" w:themeColor="text2"/>
        </w:rPr>
        <w:t>TITLE</w:t>
      </w:r>
      <w:r w:rsidR="00E574D5" w:rsidRPr="00DB49B6">
        <w:rPr>
          <w:bCs/>
          <w:color w:val="1F497D" w:themeColor="text2"/>
        </w:rPr>
        <w:t xml:space="preserve">: </w:t>
      </w:r>
      <w:r w:rsidR="005532DB">
        <w:rPr>
          <w:bCs/>
          <w:color w:val="1F497D" w:themeColor="text2"/>
        </w:rPr>
        <w:t>MISSOURI TAX SAVINGS ARE THE “</w:t>
      </w:r>
      <w:r w:rsidR="00B15698">
        <w:rPr>
          <w:bCs/>
          <w:color w:val="1F497D" w:themeColor="text2"/>
        </w:rPr>
        <w:t>MOST</w:t>
      </w:r>
      <w:r w:rsidR="005532DB">
        <w:rPr>
          <w:bCs/>
          <w:color w:val="1F497D" w:themeColor="text2"/>
        </w:rPr>
        <w:t>”</w:t>
      </w:r>
    </w:p>
    <w:p w:rsidR="004E2FC9" w:rsidRDefault="004E2FC9" w:rsidP="007B1BA8">
      <w:pPr>
        <w:rPr>
          <w:bCs/>
        </w:rPr>
      </w:pPr>
    </w:p>
    <w:p w:rsidR="001E0DF9" w:rsidRDefault="00A16ABB" w:rsidP="006D1E69">
      <w:pPr>
        <w:spacing w:line="360" w:lineRule="auto"/>
        <w:rPr>
          <w:bCs/>
        </w:rPr>
      </w:pPr>
      <w:r>
        <w:rPr>
          <w:bCs/>
        </w:rPr>
        <w:t>According to t</w:t>
      </w:r>
      <w:r w:rsidR="00891AB7">
        <w:rPr>
          <w:bCs/>
        </w:rPr>
        <w:t xml:space="preserve">he 2011 Fact Book published by the </w:t>
      </w:r>
      <w:r w:rsidR="00AD01A8">
        <w:rPr>
          <w:bCs/>
        </w:rPr>
        <w:t>[</w:t>
      </w:r>
      <w:r w:rsidR="00891AB7">
        <w:rPr>
          <w:bCs/>
        </w:rPr>
        <w:t>U.S.</w:t>
      </w:r>
      <w:r w:rsidR="00AD01A8">
        <w:rPr>
          <w:bCs/>
        </w:rPr>
        <w:t>]</w:t>
      </w:r>
      <w:r w:rsidR="00891AB7">
        <w:rPr>
          <w:bCs/>
        </w:rPr>
        <w:t xml:space="preserve"> Investment </w:t>
      </w:r>
      <w:r w:rsidR="00891AB7" w:rsidRPr="009A3BBE">
        <w:rPr>
          <w:bCs/>
        </w:rPr>
        <w:t>Company Institute</w:t>
      </w:r>
      <w:r w:rsidR="00891AB7">
        <w:rPr>
          <w:bCs/>
        </w:rPr>
        <w:t xml:space="preserve"> (ICI)</w:t>
      </w:r>
      <w:r w:rsidR="00891AB7" w:rsidRPr="009A3BBE">
        <w:rPr>
          <w:bCs/>
        </w:rPr>
        <w:t>, “</w:t>
      </w:r>
      <w:r w:rsidR="00B15698">
        <w:rPr>
          <w:bCs/>
        </w:rPr>
        <w:t>T</w:t>
      </w:r>
      <w:r w:rsidR="00891AB7" w:rsidRPr="009A3BBE">
        <w:rPr>
          <w:rFonts w:cs="Gotham XNarrow Book"/>
          <w:color w:val="000000"/>
        </w:rPr>
        <w:t xml:space="preserve">he demand for </w:t>
      </w:r>
      <w:r w:rsidR="00B15698">
        <w:rPr>
          <w:rFonts w:cs="Gotham XNarrow Book"/>
          <w:color w:val="000000"/>
        </w:rPr>
        <w:t xml:space="preserve">[college] </w:t>
      </w:r>
      <w:r w:rsidR="00891AB7" w:rsidRPr="009A3BBE">
        <w:rPr>
          <w:rFonts w:cs="Gotham XNarrow Book"/>
          <w:color w:val="000000"/>
        </w:rPr>
        <w:t>education savings vehicles has been historically modest partly because of investors’ lack of familiarity with them.”</w:t>
      </w:r>
      <w:r w:rsidR="00891AB7">
        <w:rPr>
          <w:rFonts w:cs="Gotham XNarrow Book"/>
          <w:color w:val="000000"/>
        </w:rPr>
        <w:t xml:space="preserve"> </w:t>
      </w:r>
      <w:r w:rsidR="00366E98">
        <w:rPr>
          <w:rFonts w:cs="Gotham XNarrow Book"/>
          <w:color w:val="000000"/>
        </w:rPr>
        <w:t>D</w:t>
      </w:r>
      <w:r w:rsidR="00AD0212">
        <w:rPr>
          <w:rFonts w:cs="Gotham XNarrow Book"/>
          <w:color w:val="000000"/>
        </w:rPr>
        <w:t xml:space="preserve">istributions were taken out of </w:t>
      </w:r>
      <w:r w:rsidR="00366E98">
        <w:rPr>
          <w:rFonts w:cs="Gotham XNarrow Book"/>
          <w:color w:val="000000"/>
        </w:rPr>
        <w:t xml:space="preserve">only </w:t>
      </w:r>
      <w:r w:rsidR="00891AB7">
        <w:rPr>
          <w:rFonts w:cs="Gotham XNarrow Book"/>
          <w:color w:val="000000"/>
        </w:rPr>
        <w:t xml:space="preserve">1.1 </w:t>
      </w:r>
      <w:r w:rsidR="007E5113">
        <w:rPr>
          <w:rFonts w:cs="Gotham XNarrow Book"/>
          <w:color w:val="000000"/>
        </w:rPr>
        <w:t xml:space="preserve">million </w:t>
      </w:r>
      <w:r w:rsidR="00891AB7">
        <w:rPr>
          <w:rFonts w:cs="Gotham XNarrow Book"/>
          <w:color w:val="000000"/>
        </w:rPr>
        <w:t xml:space="preserve">529 accounts </w:t>
      </w:r>
      <w:r>
        <w:rPr>
          <w:rFonts w:cs="Gotham XNarrow Book"/>
          <w:color w:val="000000"/>
        </w:rPr>
        <w:t xml:space="preserve">in 2010 </w:t>
      </w:r>
      <w:r w:rsidR="00891AB7">
        <w:rPr>
          <w:rFonts w:cs="Gotham XNarrow Book"/>
          <w:color w:val="000000"/>
        </w:rPr>
        <w:t xml:space="preserve">while </w:t>
      </w:r>
      <w:r w:rsidR="000B56B4">
        <w:rPr>
          <w:rFonts w:cs="Gotham XNarrow Book"/>
          <w:color w:val="000000"/>
        </w:rPr>
        <w:t xml:space="preserve">more than </w:t>
      </w:r>
      <w:r w:rsidR="00891AB7">
        <w:rPr>
          <w:rFonts w:cs="Gotham XNarrow Book"/>
          <w:color w:val="000000"/>
        </w:rPr>
        <w:t>2</w:t>
      </w:r>
      <w:r w:rsidR="000B56B4">
        <w:rPr>
          <w:rFonts w:cs="Gotham XNarrow Book"/>
          <w:color w:val="000000"/>
        </w:rPr>
        <w:t>0</w:t>
      </w:r>
      <w:r w:rsidR="00891AB7">
        <w:rPr>
          <w:rFonts w:cs="Gotham XNarrow Book"/>
          <w:color w:val="000000"/>
        </w:rPr>
        <w:t xml:space="preserve"> million </w:t>
      </w:r>
      <w:r w:rsidR="000B56B4">
        <w:rPr>
          <w:rFonts w:cs="Gotham XNarrow Book"/>
          <w:color w:val="000000"/>
        </w:rPr>
        <w:t xml:space="preserve">individuals attended </w:t>
      </w:r>
      <w:r w:rsidR="00891AB7">
        <w:rPr>
          <w:rFonts w:cs="Gotham XNarrow Book"/>
          <w:color w:val="000000"/>
        </w:rPr>
        <w:t>college</w:t>
      </w:r>
      <w:r w:rsidR="008911A7">
        <w:rPr>
          <w:rFonts w:cs="Gotham XNarrow Book"/>
          <w:color w:val="000000"/>
        </w:rPr>
        <w:t xml:space="preserve"> that year.</w:t>
      </w:r>
      <w:r w:rsidR="0006357A">
        <w:rPr>
          <w:rFonts w:cs="Gotham XNarrow Book"/>
          <w:color w:val="000000"/>
        </w:rPr>
        <w:t xml:space="preserve">  These plans are especially tax advantageous for Missouri taxpayers – a point that CPAs should emphasize to their clients.</w:t>
      </w:r>
    </w:p>
    <w:p w:rsidR="00E95A78" w:rsidRDefault="00E95A78" w:rsidP="006D1E69">
      <w:pPr>
        <w:spacing w:line="360" w:lineRule="auto"/>
        <w:rPr>
          <w:bCs/>
        </w:rPr>
      </w:pPr>
    </w:p>
    <w:p w:rsidR="00DD72E4" w:rsidRDefault="00DD72E4" w:rsidP="006D1E69">
      <w:pPr>
        <w:spacing w:line="360" w:lineRule="auto"/>
        <w:rPr>
          <w:bCs/>
        </w:rPr>
      </w:pPr>
    </w:p>
    <w:p w:rsidR="00750684" w:rsidRPr="00DB49B6" w:rsidRDefault="00750684" w:rsidP="006D1E69">
      <w:pPr>
        <w:spacing w:line="360" w:lineRule="auto"/>
        <w:rPr>
          <w:bCs/>
          <w:color w:val="1F497D" w:themeColor="text2"/>
        </w:rPr>
      </w:pPr>
      <w:r w:rsidRPr="00DB49B6">
        <w:rPr>
          <w:bCs/>
          <w:color w:val="1F497D" w:themeColor="text2"/>
        </w:rPr>
        <w:t xml:space="preserve">BACKGROUND ON </w:t>
      </w:r>
      <w:r w:rsidR="009F2D5C" w:rsidRPr="00DB49B6">
        <w:rPr>
          <w:bCs/>
          <w:color w:val="1F497D" w:themeColor="text2"/>
        </w:rPr>
        <w:t xml:space="preserve">STATE </w:t>
      </w:r>
      <w:r w:rsidRPr="00DB49B6">
        <w:rPr>
          <w:bCs/>
          <w:color w:val="1F497D" w:themeColor="text2"/>
        </w:rPr>
        <w:t xml:space="preserve">529 </w:t>
      </w:r>
      <w:r w:rsidR="00613C37" w:rsidRPr="00DB49B6">
        <w:rPr>
          <w:bCs/>
          <w:color w:val="1F497D" w:themeColor="text2"/>
        </w:rPr>
        <w:t xml:space="preserve">COLLEGE SAVINGS </w:t>
      </w:r>
      <w:r w:rsidRPr="00DB49B6">
        <w:rPr>
          <w:bCs/>
          <w:color w:val="1F497D" w:themeColor="text2"/>
        </w:rPr>
        <w:t>PLANS</w:t>
      </w:r>
    </w:p>
    <w:p w:rsidR="004174BB" w:rsidRDefault="003F62B9" w:rsidP="006D1E69">
      <w:pPr>
        <w:spacing w:line="360" w:lineRule="auto"/>
        <w:rPr>
          <w:bCs/>
        </w:rPr>
      </w:pPr>
      <w:r>
        <w:rPr>
          <w:bCs/>
        </w:rPr>
        <w:t>A c</w:t>
      </w:r>
      <w:r w:rsidR="000E14E2">
        <w:rPr>
          <w:bCs/>
        </w:rPr>
        <w:t>ollege savings plan</w:t>
      </w:r>
      <w:r w:rsidR="00AD0212">
        <w:rPr>
          <w:bCs/>
        </w:rPr>
        <w:t xml:space="preserve"> sponsored by a state</w:t>
      </w:r>
      <w:r w:rsidR="000E14E2">
        <w:rPr>
          <w:bCs/>
        </w:rPr>
        <w:t xml:space="preserve"> receive</w:t>
      </w:r>
      <w:r>
        <w:rPr>
          <w:bCs/>
        </w:rPr>
        <w:t>s</w:t>
      </w:r>
      <w:r w:rsidR="000E14E2">
        <w:rPr>
          <w:bCs/>
        </w:rPr>
        <w:t xml:space="preserve"> tax advantage</w:t>
      </w:r>
      <w:r w:rsidR="00366E98">
        <w:rPr>
          <w:bCs/>
        </w:rPr>
        <w:t xml:space="preserve">s </w:t>
      </w:r>
      <w:r w:rsidR="00AD0212">
        <w:rPr>
          <w:bCs/>
        </w:rPr>
        <w:t xml:space="preserve">under </w:t>
      </w:r>
      <w:r w:rsidR="007A6B6E">
        <w:rPr>
          <w:bCs/>
        </w:rPr>
        <w:t>IRC §529</w:t>
      </w:r>
      <w:r w:rsidR="0006357A">
        <w:rPr>
          <w:bCs/>
        </w:rPr>
        <w:t>.  I</w:t>
      </w:r>
      <w:r>
        <w:rPr>
          <w:bCs/>
        </w:rPr>
        <w:t xml:space="preserve">t </w:t>
      </w:r>
      <w:r w:rsidR="00AD0212">
        <w:rPr>
          <w:bCs/>
        </w:rPr>
        <w:t>is m</w:t>
      </w:r>
      <w:r w:rsidR="00E616CB">
        <w:rPr>
          <w:bCs/>
        </w:rPr>
        <w:t xml:space="preserve">ore appropriate </w:t>
      </w:r>
      <w:r w:rsidR="00AD0212">
        <w:rPr>
          <w:bCs/>
        </w:rPr>
        <w:t xml:space="preserve">to </w:t>
      </w:r>
      <w:r w:rsidR="007E5113">
        <w:rPr>
          <w:bCs/>
        </w:rPr>
        <w:t xml:space="preserve">call them </w:t>
      </w:r>
      <w:r w:rsidR="00B15698">
        <w:rPr>
          <w:bCs/>
        </w:rPr>
        <w:t>“higher education</w:t>
      </w:r>
      <w:r w:rsidR="007E5113">
        <w:rPr>
          <w:bCs/>
        </w:rPr>
        <w:t>”</w:t>
      </w:r>
      <w:r w:rsidR="00E616CB">
        <w:rPr>
          <w:bCs/>
        </w:rPr>
        <w:t xml:space="preserve"> </w:t>
      </w:r>
      <w:r w:rsidR="007E5113">
        <w:rPr>
          <w:bCs/>
        </w:rPr>
        <w:t>savings plans</w:t>
      </w:r>
      <w:r w:rsidR="0006357A">
        <w:rPr>
          <w:bCs/>
        </w:rPr>
        <w:t xml:space="preserve"> as </w:t>
      </w:r>
      <w:r w:rsidR="00E616CB">
        <w:rPr>
          <w:bCs/>
        </w:rPr>
        <w:t>two- and four-year colleges</w:t>
      </w:r>
      <w:r w:rsidR="00861F79">
        <w:rPr>
          <w:bCs/>
        </w:rPr>
        <w:t>, universities</w:t>
      </w:r>
      <w:r w:rsidR="0006357A">
        <w:rPr>
          <w:bCs/>
        </w:rPr>
        <w:t xml:space="preserve">, </w:t>
      </w:r>
      <w:r w:rsidR="00AB7C83">
        <w:rPr>
          <w:bCs/>
        </w:rPr>
        <w:t>and vocational</w:t>
      </w:r>
      <w:r w:rsidR="00E616CB">
        <w:rPr>
          <w:bCs/>
        </w:rPr>
        <w:t>/</w:t>
      </w:r>
      <w:r w:rsidR="00E616CB" w:rsidRPr="00E616CB">
        <w:rPr>
          <w:bCs/>
        </w:rPr>
        <w:t>technical</w:t>
      </w:r>
      <w:r w:rsidR="00E616CB">
        <w:rPr>
          <w:bCs/>
        </w:rPr>
        <w:t>/trade</w:t>
      </w:r>
      <w:r w:rsidR="00E616CB" w:rsidRPr="00E616CB">
        <w:rPr>
          <w:bCs/>
        </w:rPr>
        <w:t xml:space="preserve"> schools</w:t>
      </w:r>
      <w:r w:rsidR="0006357A">
        <w:rPr>
          <w:bCs/>
        </w:rPr>
        <w:t xml:space="preserve"> qualif</w:t>
      </w:r>
      <w:r w:rsidR="00034FD7">
        <w:rPr>
          <w:bCs/>
        </w:rPr>
        <w:t>y</w:t>
      </w:r>
      <w:r w:rsidR="00E616CB">
        <w:rPr>
          <w:bCs/>
        </w:rPr>
        <w:t xml:space="preserve">. </w:t>
      </w:r>
      <w:r w:rsidR="003B15A2">
        <w:rPr>
          <w:bCs/>
        </w:rPr>
        <w:t xml:space="preserve"> </w:t>
      </w:r>
      <w:r>
        <w:rPr>
          <w:bCs/>
        </w:rPr>
        <w:t xml:space="preserve">A </w:t>
      </w:r>
      <w:r w:rsidR="00AD01A8">
        <w:rPr>
          <w:bCs/>
        </w:rPr>
        <w:t xml:space="preserve">state </w:t>
      </w:r>
      <w:r w:rsidR="005512C4">
        <w:rPr>
          <w:bCs/>
        </w:rPr>
        <w:t xml:space="preserve">529 account has one owner and the owner names </w:t>
      </w:r>
      <w:r w:rsidR="007D697C">
        <w:rPr>
          <w:bCs/>
        </w:rPr>
        <w:t>a</w:t>
      </w:r>
      <w:r w:rsidR="005512C4">
        <w:rPr>
          <w:bCs/>
        </w:rPr>
        <w:t xml:space="preserve"> beneficiary. </w:t>
      </w:r>
      <w:r w:rsidR="004174BB">
        <w:rPr>
          <w:bCs/>
        </w:rPr>
        <w:t>The b</w:t>
      </w:r>
      <w:r w:rsidR="004174BB" w:rsidRPr="00F16FF9">
        <w:rPr>
          <w:bCs/>
        </w:rPr>
        <w:t xml:space="preserve">eneficiary does not have to be </w:t>
      </w:r>
      <w:r w:rsidR="00A61804">
        <w:rPr>
          <w:bCs/>
        </w:rPr>
        <w:t xml:space="preserve">the owner’s </w:t>
      </w:r>
      <w:r w:rsidR="004174BB" w:rsidRPr="00F16FF9">
        <w:rPr>
          <w:bCs/>
        </w:rPr>
        <w:t>dependent</w:t>
      </w:r>
      <w:r w:rsidR="007D697C">
        <w:rPr>
          <w:bCs/>
        </w:rPr>
        <w:t xml:space="preserve">.  Thus, </w:t>
      </w:r>
      <w:r w:rsidR="004174BB" w:rsidRPr="00F16FF9">
        <w:rPr>
          <w:bCs/>
        </w:rPr>
        <w:t xml:space="preserve">a grandparent or </w:t>
      </w:r>
      <w:r w:rsidR="004174BB">
        <w:rPr>
          <w:bCs/>
        </w:rPr>
        <w:t>other relat</w:t>
      </w:r>
      <w:r w:rsidR="00E177A4">
        <w:rPr>
          <w:bCs/>
        </w:rPr>
        <w:t xml:space="preserve">ive </w:t>
      </w:r>
      <w:r w:rsidR="004174BB" w:rsidRPr="00F16FF9">
        <w:rPr>
          <w:bCs/>
        </w:rPr>
        <w:t xml:space="preserve">can set </w:t>
      </w:r>
      <w:r w:rsidR="00E177A4">
        <w:rPr>
          <w:bCs/>
        </w:rPr>
        <w:t xml:space="preserve">one </w:t>
      </w:r>
      <w:r w:rsidR="004174BB" w:rsidRPr="00F16FF9">
        <w:rPr>
          <w:bCs/>
        </w:rPr>
        <w:t xml:space="preserve">up </w:t>
      </w:r>
      <w:r w:rsidR="004174BB">
        <w:rPr>
          <w:bCs/>
        </w:rPr>
        <w:t xml:space="preserve">and </w:t>
      </w:r>
      <w:r w:rsidR="00B15698">
        <w:rPr>
          <w:bCs/>
        </w:rPr>
        <w:t xml:space="preserve">the same </w:t>
      </w:r>
      <w:r w:rsidR="004174BB" w:rsidRPr="006B2E3E">
        <w:rPr>
          <w:bCs/>
        </w:rPr>
        <w:t xml:space="preserve">individual can be </w:t>
      </w:r>
      <w:r w:rsidR="00B15698">
        <w:rPr>
          <w:bCs/>
        </w:rPr>
        <w:t xml:space="preserve">a </w:t>
      </w:r>
      <w:r w:rsidR="004174BB">
        <w:rPr>
          <w:bCs/>
        </w:rPr>
        <w:t>b</w:t>
      </w:r>
      <w:r w:rsidR="004174BB" w:rsidRPr="006B2E3E">
        <w:rPr>
          <w:bCs/>
        </w:rPr>
        <w:t xml:space="preserve">eneficiary of more than one </w:t>
      </w:r>
      <w:r w:rsidR="004174BB">
        <w:rPr>
          <w:bCs/>
        </w:rPr>
        <w:t xml:space="preserve">529 </w:t>
      </w:r>
      <w:r w:rsidR="004174BB" w:rsidRPr="006B2E3E">
        <w:rPr>
          <w:bCs/>
        </w:rPr>
        <w:t>account.</w:t>
      </w:r>
      <w:r w:rsidR="004174BB">
        <w:rPr>
          <w:bCs/>
        </w:rPr>
        <w:t xml:space="preserve"> </w:t>
      </w:r>
      <w:r w:rsidR="00B15698">
        <w:rPr>
          <w:bCs/>
        </w:rPr>
        <w:t>T</w:t>
      </w:r>
      <w:r w:rsidR="004174BB">
        <w:rPr>
          <w:bCs/>
        </w:rPr>
        <w:t>he owner of the 529 account can change the beneficiary</w:t>
      </w:r>
      <w:r w:rsidR="007D697C">
        <w:rPr>
          <w:bCs/>
        </w:rPr>
        <w:t xml:space="preserve">.  </w:t>
      </w:r>
      <w:r w:rsidR="005B130E">
        <w:rPr>
          <w:bCs/>
        </w:rPr>
        <w:t xml:space="preserve">The owner can also be </w:t>
      </w:r>
      <w:r w:rsidR="004174BB">
        <w:rPr>
          <w:bCs/>
        </w:rPr>
        <w:t>the beneficiary.</w:t>
      </w:r>
    </w:p>
    <w:p w:rsidR="004174BB" w:rsidRDefault="004174BB" w:rsidP="006D1E69">
      <w:pPr>
        <w:spacing w:line="360" w:lineRule="auto"/>
        <w:rPr>
          <w:bCs/>
        </w:rPr>
      </w:pPr>
    </w:p>
    <w:p w:rsidR="004174BB" w:rsidRDefault="00B15698" w:rsidP="006D1E69">
      <w:pPr>
        <w:spacing w:line="360" w:lineRule="auto"/>
        <w:rPr>
          <w:bCs/>
        </w:rPr>
      </w:pPr>
      <w:r>
        <w:rPr>
          <w:bCs/>
        </w:rPr>
        <w:t xml:space="preserve">The tax advantages of a </w:t>
      </w:r>
      <w:r w:rsidR="00E668AD">
        <w:rPr>
          <w:bCs/>
        </w:rPr>
        <w:t xml:space="preserve">529 </w:t>
      </w:r>
      <w:r>
        <w:rPr>
          <w:bCs/>
        </w:rPr>
        <w:t>a</w:t>
      </w:r>
      <w:r w:rsidR="00E177A4">
        <w:rPr>
          <w:bCs/>
        </w:rPr>
        <w:t xml:space="preserve">ccount are </w:t>
      </w:r>
      <w:r w:rsidR="0011201E">
        <w:rPr>
          <w:bCs/>
        </w:rPr>
        <w:t>similar to</w:t>
      </w:r>
      <w:r w:rsidR="00034FD7">
        <w:rPr>
          <w:bCs/>
        </w:rPr>
        <w:t xml:space="preserve"> those of</w:t>
      </w:r>
      <w:r w:rsidR="0011201E">
        <w:rPr>
          <w:bCs/>
        </w:rPr>
        <w:t xml:space="preserve"> </w:t>
      </w:r>
      <w:r w:rsidR="0074204A">
        <w:rPr>
          <w:bCs/>
        </w:rPr>
        <w:t xml:space="preserve">a </w:t>
      </w:r>
      <w:r w:rsidR="0011201E" w:rsidRPr="00F16FF9">
        <w:rPr>
          <w:bCs/>
        </w:rPr>
        <w:t>R</w:t>
      </w:r>
      <w:r w:rsidR="0011201E">
        <w:rPr>
          <w:bCs/>
        </w:rPr>
        <w:t>oth</w:t>
      </w:r>
      <w:r w:rsidR="0011201E" w:rsidRPr="00F16FF9">
        <w:rPr>
          <w:bCs/>
        </w:rPr>
        <w:t xml:space="preserve"> </w:t>
      </w:r>
      <w:r w:rsidR="0074204A">
        <w:rPr>
          <w:bCs/>
        </w:rPr>
        <w:t>retirement account</w:t>
      </w:r>
      <w:r w:rsidR="0011201E">
        <w:rPr>
          <w:bCs/>
        </w:rPr>
        <w:t xml:space="preserve">. </w:t>
      </w:r>
      <w:r w:rsidR="00F16FF9">
        <w:rPr>
          <w:bCs/>
        </w:rPr>
        <w:t xml:space="preserve">Like </w:t>
      </w:r>
      <w:r w:rsidR="00E177A4">
        <w:rPr>
          <w:bCs/>
        </w:rPr>
        <w:t>a Roth</w:t>
      </w:r>
      <w:r w:rsidR="00F16FF9">
        <w:rPr>
          <w:bCs/>
        </w:rPr>
        <w:t xml:space="preserve">, </w:t>
      </w:r>
      <w:r w:rsidR="00782E1E">
        <w:rPr>
          <w:bCs/>
        </w:rPr>
        <w:t xml:space="preserve">interest, dividends, </w:t>
      </w:r>
      <w:r w:rsidR="005B130E">
        <w:rPr>
          <w:bCs/>
        </w:rPr>
        <w:t xml:space="preserve">and </w:t>
      </w:r>
      <w:r w:rsidR="00F16FF9" w:rsidRPr="00F16FF9">
        <w:rPr>
          <w:bCs/>
        </w:rPr>
        <w:t>gains</w:t>
      </w:r>
      <w:r w:rsidR="005B130E">
        <w:rPr>
          <w:bCs/>
        </w:rPr>
        <w:t xml:space="preserve"> </w:t>
      </w:r>
      <w:r w:rsidR="00F16FF9" w:rsidRPr="00F16FF9">
        <w:rPr>
          <w:bCs/>
        </w:rPr>
        <w:t xml:space="preserve">on </w:t>
      </w:r>
      <w:r w:rsidR="00F16FF9">
        <w:rPr>
          <w:bCs/>
        </w:rPr>
        <w:t xml:space="preserve">the </w:t>
      </w:r>
      <w:r w:rsidR="00F16FF9" w:rsidRPr="00F16FF9">
        <w:rPr>
          <w:bCs/>
        </w:rPr>
        <w:t xml:space="preserve">investments </w:t>
      </w:r>
      <w:r w:rsidR="00F16FF9">
        <w:rPr>
          <w:bCs/>
        </w:rPr>
        <w:t xml:space="preserve">in a 529 account are exempt from </w:t>
      </w:r>
      <w:r w:rsidR="007E5113">
        <w:rPr>
          <w:bCs/>
        </w:rPr>
        <w:t xml:space="preserve">all </w:t>
      </w:r>
      <w:r w:rsidR="00F16FF9">
        <w:rPr>
          <w:bCs/>
        </w:rPr>
        <w:t xml:space="preserve">income </w:t>
      </w:r>
      <w:r w:rsidR="00F16FF9" w:rsidRPr="00F16FF9">
        <w:rPr>
          <w:bCs/>
        </w:rPr>
        <w:t>tax</w:t>
      </w:r>
      <w:r w:rsidR="007E5113">
        <w:rPr>
          <w:bCs/>
        </w:rPr>
        <w:t>es</w:t>
      </w:r>
      <w:r w:rsidR="00F16FF9">
        <w:rPr>
          <w:bCs/>
        </w:rPr>
        <w:t xml:space="preserve">. </w:t>
      </w:r>
      <w:r w:rsidR="007D697C">
        <w:rPr>
          <w:bCs/>
        </w:rPr>
        <w:t xml:space="preserve"> </w:t>
      </w:r>
      <w:r>
        <w:rPr>
          <w:bCs/>
        </w:rPr>
        <w:t>L</w:t>
      </w:r>
      <w:r w:rsidR="00E177A4">
        <w:rPr>
          <w:bCs/>
        </w:rPr>
        <w:t>ike a Roth</w:t>
      </w:r>
      <w:r w:rsidR="0074204A">
        <w:rPr>
          <w:bCs/>
        </w:rPr>
        <w:t>,</w:t>
      </w:r>
      <w:r>
        <w:rPr>
          <w:bCs/>
        </w:rPr>
        <w:t xml:space="preserve"> </w:t>
      </w:r>
      <w:r w:rsidR="00E177A4">
        <w:rPr>
          <w:bCs/>
        </w:rPr>
        <w:t>w</w:t>
      </w:r>
      <w:r w:rsidR="00F16FF9" w:rsidRPr="00F16FF9">
        <w:rPr>
          <w:bCs/>
        </w:rPr>
        <w:t xml:space="preserve">ithdrawals </w:t>
      </w:r>
      <w:r w:rsidR="00E177A4">
        <w:rPr>
          <w:bCs/>
        </w:rPr>
        <w:t xml:space="preserve">are </w:t>
      </w:r>
      <w:r w:rsidR="004174BB" w:rsidRPr="00F16FF9">
        <w:rPr>
          <w:bCs/>
        </w:rPr>
        <w:t>tax-free</w:t>
      </w:r>
      <w:r w:rsidR="007D697C">
        <w:rPr>
          <w:bCs/>
        </w:rPr>
        <w:t xml:space="preserve"> if</w:t>
      </w:r>
      <w:r w:rsidR="007E5113">
        <w:rPr>
          <w:bCs/>
        </w:rPr>
        <w:t xml:space="preserve"> </w:t>
      </w:r>
      <w:r w:rsidR="004174BB" w:rsidRPr="00F16FF9">
        <w:rPr>
          <w:bCs/>
        </w:rPr>
        <w:t xml:space="preserve">used </w:t>
      </w:r>
      <w:r w:rsidR="00F16FF9">
        <w:rPr>
          <w:bCs/>
        </w:rPr>
        <w:t xml:space="preserve">for </w:t>
      </w:r>
      <w:r w:rsidR="007E5113">
        <w:rPr>
          <w:bCs/>
        </w:rPr>
        <w:t>t</w:t>
      </w:r>
      <w:r w:rsidR="00F16FF9">
        <w:rPr>
          <w:bCs/>
        </w:rPr>
        <w:t>he beneficiary’s tuition</w:t>
      </w:r>
      <w:r w:rsidR="00861F79">
        <w:rPr>
          <w:bCs/>
        </w:rPr>
        <w:t xml:space="preserve"> and</w:t>
      </w:r>
      <w:r w:rsidR="00F16FF9">
        <w:rPr>
          <w:bCs/>
        </w:rPr>
        <w:t xml:space="preserve"> </w:t>
      </w:r>
      <w:r w:rsidR="00F16FF9" w:rsidRPr="00F16FF9">
        <w:rPr>
          <w:bCs/>
        </w:rPr>
        <w:t xml:space="preserve">fees, </w:t>
      </w:r>
      <w:r w:rsidR="00861F79">
        <w:rPr>
          <w:bCs/>
        </w:rPr>
        <w:t xml:space="preserve">required </w:t>
      </w:r>
      <w:r w:rsidR="00F16FF9" w:rsidRPr="00F16FF9">
        <w:rPr>
          <w:bCs/>
        </w:rPr>
        <w:t xml:space="preserve">books </w:t>
      </w:r>
      <w:r w:rsidR="00F16FF9">
        <w:rPr>
          <w:bCs/>
        </w:rPr>
        <w:t xml:space="preserve">and supplies, and </w:t>
      </w:r>
      <w:r w:rsidR="00F16FF9" w:rsidRPr="00F16FF9">
        <w:rPr>
          <w:bCs/>
        </w:rPr>
        <w:t>room</w:t>
      </w:r>
      <w:r w:rsidR="00F16FF9">
        <w:rPr>
          <w:bCs/>
        </w:rPr>
        <w:t xml:space="preserve"> and </w:t>
      </w:r>
      <w:r w:rsidR="00F16FF9" w:rsidRPr="00F16FF9">
        <w:rPr>
          <w:bCs/>
        </w:rPr>
        <w:t xml:space="preserve">board at any </w:t>
      </w:r>
      <w:r w:rsidR="000E14E2">
        <w:rPr>
          <w:bCs/>
        </w:rPr>
        <w:t>higher education</w:t>
      </w:r>
      <w:r w:rsidR="00F16FF9" w:rsidRPr="00F16FF9">
        <w:rPr>
          <w:bCs/>
        </w:rPr>
        <w:t xml:space="preserve"> </w:t>
      </w:r>
      <w:r w:rsidR="00FC3932">
        <w:rPr>
          <w:bCs/>
        </w:rPr>
        <w:t xml:space="preserve">institution </w:t>
      </w:r>
      <w:r w:rsidR="0020141B">
        <w:rPr>
          <w:bCs/>
        </w:rPr>
        <w:t xml:space="preserve">in the U.S. </w:t>
      </w:r>
      <w:r w:rsidR="00FC3932">
        <w:rPr>
          <w:bCs/>
        </w:rPr>
        <w:t xml:space="preserve">where students are </w:t>
      </w:r>
      <w:r w:rsidR="00F16FF9" w:rsidRPr="00F16FF9">
        <w:rPr>
          <w:bCs/>
        </w:rPr>
        <w:t>eligible to receive federal financial aid</w:t>
      </w:r>
      <w:r w:rsidR="0020141B">
        <w:rPr>
          <w:bCs/>
        </w:rPr>
        <w:t xml:space="preserve">. </w:t>
      </w:r>
      <w:r w:rsidR="007D697C">
        <w:rPr>
          <w:bCs/>
        </w:rPr>
        <w:t xml:space="preserve"> </w:t>
      </w:r>
      <w:r w:rsidR="00FC3932">
        <w:rPr>
          <w:bCs/>
        </w:rPr>
        <w:t>There are over 7,000 such institutions</w:t>
      </w:r>
      <w:r w:rsidR="0074204A">
        <w:rPr>
          <w:bCs/>
        </w:rPr>
        <w:t xml:space="preserve"> </w:t>
      </w:r>
      <w:r w:rsidR="00034FD7">
        <w:rPr>
          <w:bCs/>
        </w:rPr>
        <w:t xml:space="preserve">(over </w:t>
      </w:r>
      <w:r w:rsidR="0074204A">
        <w:rPr>
          <w:bCs/>
        </w:rPr>
        <w:t>4,000 colleges/universities and over 2,000 vocational/technical/trade schools</w:t>
      </w:r>
      <w:r w:rsidR="00034FD7">
        <w:rPr>
          <w:bCs/>
        </w:rPr>
        <w:t>)</w:t>
      </w:r>
      <w:r w:rsidR="0074204A">
        <w:rPr>
          <w:bCs/>
        </w:rPr>
        <w:t>.</w:t>
      </w:r>
      <w:r w:rsidR="004174BB">
        <w:rPr>
          <w:bCs/>
        </w:rPr>
        <w:t xml:space="preserve"> </w:t>
      </w:r>
      <w:r w:rsidR="0074204A">
        <w:rPr>
          <w:bCs/>
        </w:rPr>
        <w:t xml:space="preserve">A </w:t>
      </w:r>
      <w:r w:rsidR="002D2887">
        <w:rPr>
          <w:bCs/>
        </w:rPr>
        <w:t xml:space="preserve">529 account, thus, does not constrain the beneficiary’s choice of a </w:t>
      </w:r>
      <w:r w:rsidR="000E14E2">
        <w:rPr>
          <w:bCs/>
        </w:rPr>
        <w:t>higher education</w:t>
      </w:r>
      <w:r w:rsidR="004174BB">
        <w:rPr>
          <w:bCs/>
        </w:rPr>
        <w:t xml:space="preserve"> institution</w:t>
      </w:r>
      <w:r w:rsidR="002D2887">
        <w:rPr>
          <w:bCs/>
        </w:rPr>
        <w:t>.</w:t>
      </w:r>
      <w:r w:rsidR="004174BB">
        <w:rPr>
          <w:bCs/>
        </w:rPr>
        <w:t xml:space="preserve"> </w:t>
      </w:r>
    </w:p>
    <w:p w:rsidR="00F16FF9" w:rsidRDefault="00F16FF9" w:rsidP="006D1E69">
      <w:pPr>
        <w:spacing w:line="360" w:lineRule="auto"/>
        <w:rPr>
          <w:bCs/>
        </w:rPr>
      </w:pPr>
    </w:p>
    <w:p w:rsidR="00DD72E4" w:rsidRDefault="00DD72E4" w:rsidP="006D1E69">
      <w:pPr>
        <w:spacing w:line="360" w:lineRule="auto"/>
        <w:rPr>
          <w:bCs/>
        </w:rPr>
      </w:pPr>
    </w:p>
    <w:p w:rsidR="00F16FF9" w:rsidRPr="00DB49B6" w:rsidRDefault="00F16FF9" w:rsidP="006D1E69">
      <w:pPr>
        <w:spacing w:line="360" w:lineRule="auto"/>
        <w:rPr>
          <w:bCs/>
          <w:color w:val="1F497D" w:themeColor="text2"/>
        </w:rPr>
      </w:pPr>
      <w:r w:rsidRPr="00DB49B6">
        <w:rPr>
          <w:bCs/>
          <w:color w:val="1F497D" w:themeColor="text2"/>
        </w:rPr>
        <w:t xml:space="preserve">TOTAL </w:t>
      </w:r>
      <w:r w:rsidR="00976244">
        <w:rPr>
          <w:bCs/>
          <w:color w:val="1F497D" w:themeColor="text2"/>
        </w:rPr>
        <w:t xml:space="preserve">ASSETS </w:t>
      </w:r>
      <w:r w:rsidRPr="00DB49B6">
        <w:rPr>
          <w:bCs/>
          <w:color w:val="1F497D" w:themeColor="text2"/>
        </w:rPr>
        <w:t xml:space="preserve">IN 529 PLANS </w:t>
      </w:r>
    </w:p>
    <w:p w:rsidR="00004D84" w:rsidRDefault="00034FD7" w:rsidP="00004D84">
      <w:pPr>
        <w:spacing w:line="360" w:lineRule="auto"/>
        <w:rPr>
          <w:bCs/>
        </w:rPr>
      </w:pPr>
      <w:r>
        <w:rPr>
          <w:bCs/>
        </w:rPr>
        <w:t>There are currently about</w:t>
      </w:r>
      <w:r w:rsidR="009A3BBE">
        <w:rPr>
          <w:bCs/>
        </w:rPr>
        <w:t xml:space="preserve"> </w:t>
      </w:r>
      <w:r w:rsidR="00750684">
        <w:rPr>
          <w:bCs/>
        </w:rPr>
        <w:t>10 million 529 accounts</w:t>
      </w:r>
      <w:r w:rsidR="009A3BBE">
        <w:rPr>
          <w:bCs/>
        </w:rPr>
        <w:t xml:space="preserve"> </w:t>
      </w:r>
      <w:r w:rsidR="00997A77">
        <w:rPr>
          <w:bCs/>
        </w:rPr>
        <w:t xml:space="preserve">that </w:t>
      </w:r>
      <w:r w:rsidR="00750684">
        <w:rPr>
          <w:bCs/>
        </w:rPr>
        <w:t>contain</w:t>
      </w:r>
      <w:r w:rsidR="00997A77">
        <w:rPr>
          <w:bCs/>
        </w:rPr>
        <w:t xml:space="preserve"> </w:t>
      </w:r>
      <w:r w:rsidR="00750684">
        <w:rPr>
          <w:bCs/>
        </w:rPr>
        <w:t xml:space="preserve">approximately $150 </w:t>
      </w:r>
      <w:r w:rsidR="004E2FC9">
        <w:rPr>
          <w:bCs/>
        </w:rPr>
        <w:t>billion</w:t>
      </w:r>
      <w:r w:rsidR="00120E5F">
        <w:rPr>
          <w:bCs/>
        </w:rPr>
        <w:t xml:space="preserve">. </w:t>
      </w:r>
      <w:r w:rsidR="00750684">
        <w:rPr>
          <w:bCs/>
        </w:rPr>
        <w:t xml:space="preserve"> </w:t>
      </w:r>
      <w:r w:rsidR="00120E5F">
        <w:rPr>
          <w:bCs/>
        </w:rPr>
        <w:t>S</w:t>
      </w:r>
      <w:r w:rsidR="00750684">
        <w:rPr>
          <w:bCs/>
        </w:rPr>
        <w:t xml:space="preserve">lightly less than half of </w:t>
      </w:r>
      <w:r w:rsidR="00120E5F">
        <w:rPr>
          <w:bCs/>
        </w:rPr>
        <w:t xml:space="preserve">this </w:t>
      </w:r>
      <w:r w:rsidR="00750684">
        <w:rPr>
          <w:bCs/>
        </w:rPr>
        <w:t xml:space="preserve">total </w:t>
      </w:r>
      <w:r w:rsidR="00997A77">
        <w:rPr>
          <w:bCs/>
        </w:rPr>
        <w:t xml:space="preserve">is </w:t>
      </w:r>
      <w:r w:rsidR="00750684">
        <w:rPr>
          <w:bCs/>
        </w:rPr>
        <w:t xml:space="preserve">in direct-sold </w:t>
      </w:r>
      <w:r w:rsidR="005A3974">
        <w:rPr>
          <w:bCs/>
        </w:rPr>
        <w:t xml:space="preserve">(i.e., opened directly by investors) </w:t>
      </w:r>
      <w:r w:rsidR="00750684">
        <w:rPr>
          <w:bCs/>
        </w:rPr>
        <w:t xml:space="preserve">accounts and slightly more than half </w:t>
      </w:r>
      <w:r w:rsidR="00997A77">
        <w:rPr>
          <w:bCs/>
        </w:rPr>
        <w:t xml:space="preserve">is </w:t>
      </w:r>
      <w:r w:rsidR="00750684">
        <w:rPr>
          <w:bCs/>
        </w:rPr>
        <w:t>in advisor-sold</w:t>
      </w:r>
      <w:r w:rsidR="005A3974">
        <w:rPr>
          <w:bCs/>
        </w:rPr>
        <w:t xml:space="preserve"> (i.e., opened through </w:t>
      </w:r>
      <w:r w:rsidR="00A2500F">
        <w:rPr>
          <w:bCs/>
        </w:rPr>
        <w:t xml:space="preserve">a </w:t>
      </w:r>
      <w:r w:rsidR="005A3974">
        <w:rPr>
          <w:bCs/>
        </w:rPr>
        <w:t>financial advisor)</w:t>
      </w:r>
      <w:r w:rsidR="00997A77">
        <w:rPr>
          <w:bCs/>
        </w:rPr>
        <w:t xml:space="preserve"> accounts</w:t>
      </w:r>
      <w:r w:rsidR="005A3974">
        <w:rPr>
          <w:bCs/>
        </w:rPr>
        <w:t>.</w:t>
      </w:r>
      <w:r w:rsidR="00750684">
        <w:rPr>
          <w:bCs/>
        </w:rPr>
        <w:t xml:space="preserve"> </w:t>
      </w:r>
      <w:r w:rsidR="008B26F9">
        <w:rPr>
          <w:bCs/>
        </w:rPr>
        <w:lastRenderedPageBreak/>
        <w:t xml:space="preserve">A typical state has one direct-sold 529 plan and one advisor-sold 529 plan. </w:t>
      </w:r>
      <w:r w:rsidR="00D86520">
        <w:rPr>
          <w:bCs/>
        </w:rPr>
        <w:t>Virginia’s CollegeAmerica 529 plan</w:t>
      </w:r>
      <w:r w:rsidR="00EB6483">
        <w:rPr>
          <w:bCs/>
        </w:rPr>
        <w:t xml:space="preserve"> is advisor-sold and has total assets of approximately $30 </w:t>
      </w:r>
      <w:r w:rsidR="007D697C">
        <w:rPr>
          <w:bCs/>
        </w:rPr>
        <w:t>billion</w:t>
      </w:r>
      <w:r w:rsidR="00EB6483">
        <w:rPr>
          <w:bCs/>
        </w:rPr>
        <w:t xml:space="preserve">—about one-fifth of </w:t>
      </w:r>
      <w:r w:rsidR="003C3E0C">
        <w:rPr>
          <w:bCs/>
        </w:rPr>
        <w:t>total</w:t>
      </w:r>
      <w:r w:rsidR="00EB6483">
        <w:rPr>
          <w:bCs/>
        </w:rPr>
        <w:t xml:space="preserve"> </w:t>
      </w:r>
      <w:r w:rsidR="007D697C">
        <w:rPr>
          <w:bCs/>
        </w:rPr>
        <w:t xml:space="preserve">assets in all </w:t>
      </w:r>
      <w:r w:rsidR="00EB6483">
        <w:rPr>
          <w:bCs/>
        </w:rPr>
        <w:t>529</w:t>
      </w:r>
      <w:r w:rsidR="007D697C">
        <w:rPr>
          <w:bCs/>
        </w:rPr>
        <w:t xml:space="preserve"> plans</w:t>
      </w:r>
      <w:r w:rsidR="00EB6483">
        <w:rPr>
          <w:bCs/>
        </w:rPr>
        <w:t xml:space="preserve">. </w:t>
      </w:r>
      <w:r w:rsidR="00A2500F">
        <w:rPr>
          <w:bCs/>
        </w:rPr>
        <w:t>This is the only advisor-sold plan that received Mor</w:t>
      </w:r>
      <w:r w:rsidR="007624AB">
        <w:rPr>
          <w:bCs/>
        </w:rPr>
        <w:t>n</w:t>
      </w:r>
      <w:r w:rsidR="00A2500F">
        <w:rPr>
          <w:bCs/>
        </w:rPr>
        <w:t>ingstar’s top rating in a November, 2010 analysis.  D</w:t>
      </w:r>
      <w:r w:rsidR="00004D84">
        <w:rPr>
          <w:bCs/>
        </w:rPr>
        <w:t xml:space="preserve">irect-sold 529 plans </w:t>
      </w:r>
      <w:r w:rsidR="00A2500F">
        <w:rPr>
          <w:bCs/>
        </w:rPr>
        <w:t xml:space="preserve">receiving the top rating </w:t>
      </w:r>
      <w:r w:rsidR="00004D84">
        <w:rPr>
          <w:bCs/>
        </w:rPr>
        <w:t>include Alaska’s T. Rowe Price College Savings Plan</w:t>
      </w:r>
      <w:r w:rsidR="00004D84" w:rsidRPr="009E06FD">
        <w:rPr>
          <w:bCs/>
        </w:rPr>
        <w:t xml:space="preserve"> </w:t>
      </w:r>
      <w:r w:rsidR="00004D84">
        <w:rPr>
          <w:bCs/>
        </w:rPr>
        <w:t>and Maryland’s College Investment Plan.  The performance of both was in the top 10 for the one-, three-, and five-year periods ending March 31, 2011</w:t>
      </w:r>
      <w:r w:rsidR="007624AB">
        <w:rPr>
          <w:bCs/>
        </w:rPr>
        <w:t xml:space="preserve"> (</w:t>
      </w:r>
      <w:r w:rsidR="00124769">
        <w:rPr>
          <w:bCs/>
        </w:rPr>
        <w:t xml:space="preserve">source: </w:t>
      </w:r>
      <w:r w:rsidR="007624AB">
        <w:rPr>
          <w:bCs/>
        </w:rPr>
        <w:t>savingforcollege.com)</w:t>
      </w:r>
      <w:r w:rsidR="00004D84">
        <w:rPr>
          <w:bCs/>
        </w:rPr>
        <w:t>.</w:t>
      </w:r>
    </w:p>
    <w:p w:rsidR="000B56B4" w:rsidRDefault="000B56B4" w:rsidP="006D1E69">
      <w:pPr>
        <w:spacing w:line="360" w:lineRule="auto"/>
        <w:rPr>
          <w:bCs/>
        </w:rPr>
      </w:pPr>
    </w:p>
    <w:p w:rsidR="00DD72E4" w:rsidRDefault="00DD72E4" w:rsidP="006D1E69">
      <w:pPr>
        <w:spacing w:line="360" w:lineRule="auto"/>
        <w:rPr>
          <w:bCs/>
          <w:color w:val="1F497D" w:themeColor="text2"/>
        </w:rPr>
      </w:pPr>
    </w:p>
    <w:p w:rsidR="000B56B4" w:rsidRPr="00DB49B6" w:rsidRDefault="00D269AA" w:rsidP="006D1E69">
      <w:pPr>
        <w:spacing w:line="360" w:lineRule="auto"/>
        <w:rPr>
          <w:bCs/>
          <w:color w:val="1F497D" w:themeColor="text2"/>
        </w:rPr>
      </w:pPr>
      <w:r>
        <w:rPr>
          <w:bCs/>
          <w:color w:val="1F497D" w:themeColor="text2"/>
        </w:rPr>
        <w:t xml:space="preserve">INVESTING IN </w:t>
      </w:r>
      <w:r w:rsidR="008B26F9">
        <w:rPr>
          <w:bCs/>
          <w:color w:val="1F497D" w:themeColor="text2"/>
        </w:rPr>
        <w:t xml:space="preserve">MISSOURI’S </w:t>
      </w:r>
      <w:r w:rsidR="007624AB">
        <w:rPr>
          <w:bCs/>
          <w:color w:val="1F497D" w:themeColor="text2"/>
        </w:rPr>
        <w:t xml:space="preserve">MOST </w:t>
      </w:r>
      <w:r w:rsidR="000B56B4" w:rsidRPr="00DB49B6">
        <w:rPr>
          <w:bCs/>
          <w:color w:val="1F497D" w:themeColor="text2"/>
        </w:rPr>
        <w:t xml:space="preserve">529 PLANS </w:t>
      </w:r>
    </w:p>
    <w:p w:rsidR="00466100" w:rsidRDefault="0011201E" w:rsidP="006D1E69">
      <w:pPr>
        <w:spacing w:line="360" w:lineRule="auto"/>
        <w:rPr>
          <w:bCs/>
        </w:rPr>
      </w:pPr>
      <w:r>
        <w:rPr>
          <w:bCs/>
        </w:rPr>
        <w:t>Missouri</w:t>
      </w:r>
      <w:r w:rsidR="008B26F9">
        <w:rPr>
          <w:bCs/>
        </w:rPr>
        <w:t xml:space="preserve"> has </w:t>
      </w:r>
      <w:r w:rsidR="000A4C9B">
        <w:rPr>
          <w:bCs/>
        </w:rPr>
        <w:t xml:space="preserve">one direct-sold 529 plan and one advisor-sold </w:t>
      </w:r>
      <w:r w:rsidR="008B26F9">
        <w:rPr>
          <w:bCs/>
        </w:rPr>
        <w:t>529 plan</w:t>
      </w:r>
      <w:r w:rsidR="00FC6589">
        <w:rPr>
          <w:bCs/>
        </w:rPr>
        <w:t>.</w:t>
      </w:r>
      <w:r w:rsidR="007624AB">
        <w:rPr>
          <w:bCs/>
        </w:rPr>
        <w:t xml:space="preserve"> The websites for the two plans are </w:t>
      </w:r>
      <w:r w:rsidR="007624AB">
        <w:rPr>
          <w:bCs/>
          <w:i/>
        </w:rPr>
        <w:t>missourimost.com</w:t>
      </w:r>
      <w:r w:rsidR="00FC6589">
        <w:rPr>
          <w:bCs/>
        </w:rPr>
        <w:t xml:space="preserve"> </w:t>
      </w:r>
      <w:r w:rsidR="007624AB">
        <w:rPr>
          <w:bCs/>
        </w:rPr>
        <w:t xml:space="preserve">and </w:t>
      </w:r>
      <w:r w:rsidR="007624AB">
        <w:rPr>
          <w:bCs/>
          <w:i/>
        </w:rPr>
        <w:t xml:space="preserve">most529advisor.com. </w:t>
      </w:r>
      <w:r>
        <w:rPr>
          <w:bCs/>
        </w:rPr>
        <w:t xml:space="preserve">Total assets in the two MOST plans </w:t>
      </w:r>
      <w:r w:rsidR="00E21E0D">
        <w:rPr>
          <w:bCs/>
        </w:rPr>
        <w:t>are</w:t>
      </w:r>
      <w:r w:rsidR="000A4C9B">
        <w:rPr>
          <w:bCs/>
        </w:rPr>
        <w:t xml:space="preserve"> </w:t>
      </w:r>
      <w:r>
        <w:rPr>
          <w:bCs/>
        </w:rPr>
        <w:t>approximately $1.</w:t>
      </w:r>
      <w:r w:rsidR="008B26F9">
        <w:rPr>
          <w:bCs/>
        </w:rPr>
        <w:t>5</w:t>
      </w:r>
      <w:r>
        <w:rPr>
          <w:bCs/>
        </w:rPr>
        <w:t xml:space="preserve"> </w:t>
      </w:r>
      <w:r w:rsidR="008B26F9">
        <w:rPr>
          <w:bCs/>
        </w:rPr>
        <w:t>billion</w:t>
      </w:r>
      <w:r w:rsidR="00AA05C3">
        <w:rPr>
          <w:bCs/>
        </w:rPr>
        <w:t>,</w:t>
      </w:r>
      <w:r w:rsidR="00A16ABB">
        <w:rPr>
          <w:bCs/>
        </w:rPr>
        <w:t xml:space="preserve"> which is</w:t>
      </w:r>
      <w:r w:rsidR="008B26F9">
        <w:rPr>
          <w:bCs/>
        </w:rPr>
        <w:t xml:space="preserve"> about </w:t>
      </w:r>
      <w:r>
        <w:rPr>
          <w:bCs/>
        </w:rPr>
        <w:t>1</w:t>
      </w:r>
      <w:r w:rsidR="008B26F9">
        <w:rPr>
          <w:bCs/>
        </w:rPr>
        <w:t>.0</w:t>
      </w:r>
      <w:r>
        <w:rPr>
          <w:bCs/>
        </w:rPr>
        <w:t xml:space="preserve">% of </w:t>
      </w:r>
      <w:r w:rsidR="00E97D87">
        <w:rPr>
          <w:bCs/>
        </w:rPr>
        <w:t xml:space="preserve">total assets in 529 accounts in the </w:t>
      </w:r>
      <w:r>
        <w:rPr>
          <w:bCs/>
        </w:rPr>
        <w:t>U.S.</w:t>
      </w:r>
      <w:r w:rsidR="00E97D87">
        <w:rPr>
          <w:bCs/>
        </w:rPr>
        <w:t xml:space="preserve"> </w:t>
      </w:r>
      <w:r w:rsidR="00AA05C3">
        <w:rPr>
          <w:bCs/>
        </w:rPr>
        <w:t>(</w:t>
      </w:r>
      <w:r w:rsidR="00FC6589">
        <w:rPr>
          <w:bCs/>
        </w:rPr>
        <w:t>Missouri</w:t>
      </w:r>
      <w:r w:rsidR="00E97D87">
        <w:rPr>
          <w:bCs/>
        </w:rPr>
        <w:t xml:space="preserve">’s population is </w:t>
      </w:r>
      <w:r w:rsidR="00034FD7">
        <w:rPr>
          <w:bCs/>
        </w:rPr>
        <w:t xml:space="preserve">about </w:t>
      </w:r>
      <w:r w:rsidR="00E97D87">
        <w:rPr>
          <w:bCs/>
        </w:rPr>
        <w:t xml:space="preserve">2.0% of </w:t>
      </w:r>
      <w:r w:rsidR="00034FD7">
        <w:rPr>
          <w:bCs/>
        </w:rPr>
        <w:t xml:space="preserve">the </w:t>
      </w:r>
      <w:r w:rsidR="00E97D87">
        <w:rPr>
          <w:bCs/>
        </w:rPr>
        <w:t>total population in the U.S.</w:t>
      </w:r>
      <w:r w:rsidR="00AA05C3">
        <w:rPr>
          <w:bCs/>
        </w:rPr>
        <w:t>)</w:t>
      </w:r>
      <w:r w:rsidR="00E97D87">
        <w:rPr>
          <w:bCs/>
        </w:rPr>
        <w:t xml:space="preserve"> </w:t>
      </w:r>
      <w:r w:rsidR="00034FD7">
        <w:rPr>
          <w:bCs/>
        </w:rPr>
        <w:t xml:space="preserve"> </w:t>
      </w:r>
      <w:r>
        <w:rPr>
          <w:bCs/>
        </w:rPr>
        <w:t xml:space="preserve">More than 90% of </w:t>
      </w:r>
      <w:r w:rsidR="00FC6589">
        <w:rPr>
          <w:bCs/>
        </w:rPr>
        <w:t>funds</w:t>
      </w:r>
      <w:r>
        <w:rPr>
          <w:bCs/>
        </w:rPr>
        <w:t xml:space="preserve"> </w:t>
      </w:r>
      <w:r w:rsidR="00E97D87">
        <w:rPr>
          <w:bCs/>
        </w:rPr>
        <w:t xml:space="preserve">in MOST plans </w:t>
      </w:r>
      <w:r w:rsidR="00AA05C3">
        <w:rPr>
          <w:bCs/>
        </w:rPr>
        <w:t xml:space="preserve">are </w:t>
      </w:r>
      <w:r>
        <w:rPr>
          <w:bCs/>
        </w:rPr>
        <w:t>in direct-sold MOST accounts</w:t>
      </w:r>
      <w:r w:rsidR="00A16ABB">
        <w:rPr>
          <w:bCs/>
        </w:rPr>
        <w:t xml:space="preserve">. </w:t>
      </w:r>
      <w:r w:rsidR="003B3C6A">
        <w:rPr>
          <w:bCs/>
        </w:rPr>
        <w:t xml:space="preserve">Direct-sold </w:t>
      </w:r>
      <w:r w:rsidR="003B3C6A">
        <w:t>MOST accounts have no</w:t>
      </w:r>
      <w:r w:rsidR="003B3C6A" w:rsidRPr="006803F9">
        <w:t xml:space="preserve"> </w:t>
      </w:r>
      <w:r w:rsidR="003B3C6A">
        <w:t>fees and allow initial and subsequent contributions to be as little as $25.</w:t>
      </w:r>
      <w:r w:rsidR="007624AB">
        <w:t xml:space="preserve"> </w:t>
      </w:r>
      <w:r w:rsidR="00A16ABB">
        <w:rPr>
          <w:bCs/>
        </w:rPr>
        <w:t>The</w:t>
      </w:r>
      <w:r w:rsidR="00940ECE">
        <w:rPr>
          <w:bCs/>
        </w:rPr>
        <w:t xml:space="preserve"> investment manager </w:t>
      </w:r>
      <w:r w:rsidR="00AA05C3">
        <w:rPr>
          <w:bCs/>
        </w:rPr>
        <w:t xml:space="preserve">for the direct-sold MOST accounts </w:t>
      </w:r>
      <w:r w:rsidR="00940ECE">
        <w:rPr>
          <w:bCs/>
        </w:rPr>
        <w:t xml:space="preserve">is </w:t>
      </w:r>
      <w:r>
        <w:t>Vanguard</w:t>
      </w:r>
      <w:r w:rsidR="00FC6589">
        <w:t xml:space="preserve"> -</w:t>
      </w:r>
      <w:r>
        <w:rPr>
          <w:bCs/>
        </w:rPr>
        <w:t xml:space="preserve"> the largest mutual fund family in the U.S. by total assets. </w:t>
      </w:r>
      <w:r w:rsidR="00B4378A">
        <w:t xml:space="preserve">Vanguard is well known </w:t>
      </w:r>
      <w:r w:rsidR="00B4378A">
        <w:rPr>
          <w:bCs/>
        </w:rPr>
        <w:t xml:space="preserve">for offering mutual funds </w:t>
      </w:r>
      <w:r w:rsidR="00940ECE">
        <w:rPr>
          <w:bCs/>
        </w:rPr>
        <w:t xml:space="preserve">that have relatively </w:t>
      </w:r>
      <w:r w:rsidR="00B4378A">
        <w:rPr>
          <w:bCs/>
        </w:rPr>
        <w:t xml:space="preserve">low annual expenses. </w:t>
      </w:r>
    </w:p>
    <w:p w:rsidR="00466100" w:rsidRDefault="00466100" w:rsidP="006D1E69">
      <w:pPr>
        <w:spacing w:line="360" w:lineRule="auto"/>
        <w:rPr>
          <w:bCs/>
        </w:rPr>
      </w:pPr>
    </w:p>
    <w:p w:rsidR="006569EC" w:rsidRDefault="007624AB" w:rsidP="006D1E69">
      <w:pPr>
        <w:spacing w:line="360" w:lineRule="auto"/>
        <w:rPr>
          <w:bCs/>
        </w:rPr>
      </w:pPr>
      <w:r>
        <w:rPr>
          <w:bCs/>
        </w:rPr>
        <w:t xml:space="preserve">After a 2010 law change, there is no longer </w:t>
      </w:r>
      <w:r w:rsidR="00B2395F">
        <w:rPr>
          <w:bCs/>
        </w:rPr>
        <w:t>a</w:t>
      </w:r>
      <w:r w:rsidR="00A9275A">
        <w:rPr>
          <w:bCs/>
        </w:rPr>
        <w:t xml:space="preserve"> minimum amount of time the funds contributed to the MOST account must be invested before being withdrawn to pay for higher education costs of the beneficiary.</w:t>
      </w:r>
      <w:r w:rsidR="00D269AA">
        <w:rPr>
          <w:bCs/>
        </w:rPr>
        <w:t xml:space="preserve">  Thus</w:t>
      </w:r>
      <w:r w:rsidR="006569EC">
        <w:rPr>
          <w:bCs/>
        </w:rPr>
        <w:t>, i</w:t>
      </w:r>
      <w:r w:rsidR="006569EC" w:rsidRPr="006B2E3E">
        <w:rPr>
          <w:bCs/>
        </w:rPr>
        <w:t xml:space="preserve">t is </w:t>
      </w:r>
      <w:r w:rsidR="006569EC">
        <w:rPr>
          <w:bCs/>
        </w:rPr>
        <w:t>never “</w:t>
      </w:r>
      <w:r w:rsidR="006569EC" w:rsidRPr="006B2E3E">
        <w:rPr>
          <w:bCs/>
        </w:rPr>
        <w:t>too late</w:t>
      </w:r>
      <w:r w:rsidR="006569EC">
        <w:rPr>
          <w:bCs/>
        </w:rPr>
        <w:t>”</w:t>
      </w:r>
      <w:r w:rsidR="006569EC" w:rsidRPr="006B2E3E">
        <w:rPr>
          <w:bCs/>
        </w:rPr>
        <w:t xml:space="preserve"> </w:t>
      </w:r>
      <w:r w:rsidR="00FC6589">
        <w:rPr>
          <w:bCs/>
        </w:rPr>
        <w:t>for a Missouri</w:t>
      </w:r>
      <w:r w:rsidR="006569EC">
        <w:rPr>
          <w:bCs/>
        </w:rPr>
        <w:t xml:space="preserve"> income taxpayer who will be paying higher education costs </w:t>
      </w:r>
      <w:r w:rsidR="006569EC" w:rsidRPr="006B2E3E">
        <w:rPr>
          <w:bCs/>
        </w:rPr>
        <w:t xml:space="preserve">to </w:t>
      </w:r>
      <w:r w:rsidR="00435C35">
        <w:rPr>
          <w:bCs/>
        </w:rPr>
        <w:t xml:space="preserve">save </w:t>
      </w:r>
      <w:r w:rsidR="00042C40">
        <w:rPr>
          <w:bCs/>
        </w:rPr>
        <w:t>state</w:t>
      </w:r>
      <w:r w:rsidR="003E29A5">
        <w:rPr>
          <w:bCs/>
        </w:rPr>
        <w:t xml:space="preserve"> income </w:t>
      </w:r>
      <w:r w:rsidR="00435C35">
        <w:rPr>
          <w:bCs/>
        </w:rPr>
        <w:t xml:space="preserve">tax by </w:t>
      </w:r>
      <w:r w:rsidR="003E29A5">
        <w:rPr>
          <w:bCs/>
        </w:rPr>
        <w:t xml:space="preserve">contributing to </w:t>
      </w:r>
      <w:r w:rsidR="00435C35">
        <w:rPr>
          <w:bCs/>
        </w:rPr>
        <w:t xml:space="preserve">a </w:t>
      </w:r>
      <w:r w:rsidR="006569EC">
        <w:rPr>
          <w:bCs/>
        </w:rPr>
        <w:t>MOST account</w:t>
      </w:r>
      <w:r w:rsidR="00435C35">
        <w:rPr>
          <w:bCs/>
        </w:rPr>
        <w:t xml:space="preserve">. </w:t>
      </w:r>
      <w:r w:rsidR="003E29A5">
        <w:rPr>
          <w:bCs/>
        </w:rPr>
        <w:t>Once</w:t>
      </w:r>
      <w:r w:rsidR="00435C35">
        <w:rPr>
          <w:bCs/>
        </w:rPr>
        <w:t xml:space="preserve"> the funds are credited to the account, </w:t>
      </w:r>
      <w:r w:rsidR="003E29A5">
        <w:rPr>
          <w:bCs/>
        </w:rPr>
        <w:t>the</w:t>
      </w:r>
      <w:r w:rsidR="00503F16">
        <w:rPr>
          <w:bCs/>
        </w:rPr>
        <w:t>y</w:t>
      </w:r>
      <w:r w:rsidR="00435C35">
        <w:rPr>
          <w:bCs/>
        </w:rPr>
        <w:t xml:space="preserve"> can</w:t>
      </w:r>
      <w:r w:rsidR="006569EC">
        <w:rPr>
          <w:bCs/>
        </w:rPr>
        <w:t xml:space="preserve"> </w:t>
      </w:r>
      <w:r w:rsidR="00503F16">
        <w:rPr>
          <w:bCs/>
        </w:rPr>
        <w:t xml:space="preserve">be </w:t>
      </w:r>
      <w:r w:rsidR="00F21155">
        <w:rPr>
          <w:bCs/>
        </w:rPr>
        <w:t>withdraw</w:t>
      </w:r>
      <w:r w:rsidR="00503F16">
        <w:rPr>
          <w:bCs/>
        </w:rPr>
        <w:t>n</w:t>
      </w:r>
      <w:r w:rsidR="00F21155">
        <w:rPr>
          <w:bCs/>
        </w:rPr>
        <w:t xml:space="preserve"> </w:t>
      </w:r>
      <w:r w:rsidR="00503F16">
        <w:rPr>
          <w:bCs/>
        </w:rPr>
        <w:t xml:space="preserve">to </w:t>
      </w:r>
      <w:r w:rsidR="00F21155">
        <w:rPr>
          <w:bCs/>
        </w:rPr>
        <w:t xml:space="preserve">pay the beneficiary’s </w:t>
      </w:r>
      <w:r w:rsidR="00940ECE">
        <w:rPr>
          <w:bCs/>
        </w:rPr>
        <w:t xml:space="preserve">qualified </w:t>
      </w:r>
      <w:r w:rsidR="006D26D3">
        <w:rPr>
          <w:bCs/>
        </w:rPr>
        <w:t xml:space="preserve">higher education </w:t>
      </w:r>
      <w:r w:rsidR="00940ECE">
        <w:rPr>
          <w:bCs/>
        </w:rPr>
        <w:t>costs</w:t>
      </w:r>
      <w:r w:rsidR="00435C35">
        <w:rPr>
          <w:bCs/>
        </w:rPr>
        <w:t>.</w:t>
      </w:r>
      <w:r w:rsidR="00940ECE">
        <w:rPr>
          <w:bCs/>
        </w:rPr>
        <w:t xml:space="preserve"> </w:t>
      </w:r>
    </w:p>
    <w:p w:rsidR="00940ECE" w:rsidRDefault="00940ECE" w:rsidP="006D1E69">
      <w:pPr>
        <w:spacing w:line="360" w:lineRule="auto"/>
        <w:rPr>
          <w:bCs/>
        </w:rPr>
      </w:pPr>
    </w:p>
    <w:p w:rsidR="00B47624" w:rsidRDefault="00503F16" w:rsidP="006D1E69">
      <w:pPr>
        <w:spacing w:line="360" w:lineRule="auto"/>
        <w:rPr>
          <w:bCs/>
        </w:rPr>
      </w:pPr>
      <w:r>
        <w:rPr>
          <w:bCs/>
        </w:rPr>
        <w:t>When contributing to a</w:t>
      </w:r>
      <w:r w:rsidR="00C05886">
        <w:rPr>
          <w:bCs/>
        </w:rPr>
        <w:t xml:space="preserve"> 529 account</w:t>
      </w:r>
      <w:r>
        <w:rPr>
          <w:bCs/>
        </w:rPr>
        <w:t>, the</w:t>
      </w:r>
      <w:r w:rsidR="00C05886">
        <w:rPr>
          <w:bCs/>
        </w:rPr>
        <w:t xml:space="preserve"> owner </w:t>
      </w:r>
      <w:r>
        <w:rPr>
          <w:bCs/>
        </w:rPr>
        <w:t xml:space="preserve">must </w:t>
      </w:r>
      <w:r w:rsidR="00C05886">
        <w:rPr>
          <w:bCs/>
        </w:rPr>
        <w:t xml:space="preserve">choose among the mutual funds offered by </w:t>
      </w:r>
      <w:r>
        <w:rPr>
          <w:bCs/>
        </w:rPr>
        <w:t xml:space="preserve">the </w:t>
      </w:r>
      <w:r w:rsidR="00C05886">
        <w:rPr>
          <w:bCs/>
        </w:rPr>
        <w:t xml:space="preserve">state’s plan. </w:t>
      </w:r>
      <w:r w:rsidR="00435C35">
        <w:rPr>
          <w:bCs/>
        </w:rPr>
        <w:t>In the direct-sold</w:t>
      </w:r>
      <w:r w:rsidR="00B47624">
        <w:rPr>
          <w:bCs/>
        </w:rPr>
        <w:t xml:space="preserve"> MOST</w:t>
      </w:r>
      <w:r w:rsidR="00435C35">
        <w:rPr>
          <w:bCs/>
        </w:rPr>
        <w:t>,</w:t>
      </w:r>
      <w:r w:rsidR="00B47624">
        <w:rPr>
          <w:bCs/>
        </w:rPr>
        <w:t xml:space="preserve"> </w:t>
      </w:r>
      <w:r w:rsidR="00435C35">
        <w:rPr>
          <w:bCs/>
        </w:rPr>
        <w:t xml:space="preserve">the </w:t>
      </w:r>
      <w:r w:rsidR="00B47624">
        <w:rPr>
          <w:bCs/>
        </w:rPr>
        <w:t xml:space="preserve">mutual fund with the lowest risk is the </w:t>
      </w:r>
      <w:r w:rsidR="00B47624" w:rsidRPr="00B4378A">
        <w:rPr>
          <w:bCs/>
          <w:i/>
        </w:rPr>
        <w:t>Vanguard Interest Accumulation Portfolio</w:t>
      </w:r>
      <w:r>
        <w:rPr>
          <w:bCs/>
        </w:rPr>
        <w:t xml:space="preserve"> which </w:t>
      </w:r>
      <w:r w:rsidR="00B47624">
        <w:rPr>
          <w:bCs/>
        </w:rPr>
        <w:t>invests in “</w:t>
      </w:r>
      <w:r w:rsidR="00B47624">
        <w:t xml:space="preserve">high-quality, short-term money market instruments.” </w:t>
      </w:r>
      <w:r>
        <w:t>Using the lowest risk fund</w:t>
      </w:r>
      <w:r w:rsidR="00C05886">
        <w:t xml:space="preserve"> </w:t>
      </w:r>
      <w:r>
        <w:t xml:space="preserve">is a wise choice </w:t>
      </w:r>
      <w:r w:rsidR="00C05886">
        <w:t xml:space="preserve">for an </w:t>
      </w:r>
      <w:r w:rsidR="00B47624">
        <w:rPr>
          <w:bCs/>
        </w:rPr>
        <w:t xml:space="preserve">individual contributing to a MOST then withdrawing the money shortly thereafter to pay </w:t>
      </w:r>
      <w:r w:rsidR="00C05886">
        <w:rPr>
          <w:bCs/>
        </w:rPr>
        <w:t>higher education costs</w:t>
      </w:r>
      <w:r>
        <w:rPr>
          <w:bCs/>
        </w:rPr>
        <w:t xml:space="preserve"> of the beneficiary.</w:t>
      </w:r>
      <w:r w:rsidR="00BA43F6">
        <w:rPr>
          <w:bCs/>
        </w:rPr>
        <w:t xml:space="preserve">  If the beneficiary will not be going to college for several years, MOST offers more risky investment options that offer higher return potential over longer periods of time.</w:t>
      </w:r>
    </w:p>
    <w:p w:rsidR="005F5879" w:rsidRDefault="005F5879" w:rsidP="006D1E69">
      <w:pPr>
        <w:spacing w:line="360" w:lineRule="auto"/>
        <w:rPr>
          <w:bCs/>
        </w:rPr>
      </w:pPr>
    </w:p>
    <w:p w:rsidR="00DD72E4" w:rsidRDefault="00DD72E4" w:rsidP="006D1E69">
      <w:pPr>
        <w:spacing w:line="360" w:lineRule="auto"/>
        <w:rPr>
          <w:bCs/>
        </w:rPr>
      </w:pPr>
    </w:p>
    <w:p w:rsidR="005F5879" w:rsidRPr="00DB49B6" w:rsidRDefault="005F5879" w:rsidP="006D1E69">
      <w:pPr>
        <w:spacing w:line="360" w:lineRule="auto"/>
        <w:rPr>
          <w:bCs/>
          <w:color w:val="1F497D" w:themeColor="text2"/>
        </w:rPr>
      </w:pPr>
      <w:r>
        <w:rPr>
          <w:bCs/>
          <w:color w:val="1F497D" w:themeColor="text2"/>
        </w:rPr>
        <w:t xml:space="preserve">TAX TREATMENT </w:t>
      </w:r>
      <w:r w:rsidR="00976244">
        <w:rPr>
          <w:bCs/>
          <w:color w:val="1F497D" w:themeColor="text2"/>
        </w:rPr>
        <w:t xml:space="preserve">OF </w:t>
      </w:r>
      <w:r w:rsidR="00AD01A8">
        <w:rPr>
          <w:bCs/>
          <w:color w:val="1F497D" w:themeColor="text2"/>
        </w:rPr>
        <w:t xml:space="preserve">A </w:t>
      </w:r>
      <w:r w:rsidR="00FC6589">
        <w:rPr>
          <w:bCs/>
          <w:color w:val="1F497D" w:themeColor="text2"/>
        </w:rPr>
        <w:t>MISSOURI</w:t>
      </w:r>
      <w:r w:rsidR="00976244">
        <w:rPr>
          <w:bCs/>
          <w:color w:val="1F497D" w:themeColor="text2"/>
        </w:rPr>
        <w:t xml:space="preserve"> INCOME TAXPAYER’S 529 ACCOUNT </w:t>
      </w:r>
      <w:r>
        <w:rPr>
          <w:bCs/>
          <w:color w:val="1F497D" w:themeColor="text2"/>
        </w:rPr>
        <w:t>IS BETTER THAN A ROTH IRA</w:t>
      </w:r>
    </w:p>
    <w:p w:rsidR="005F5879" w:rsidRDefault="005F5879" w:rsidP="006D1E69">
      <w:pPr>
        <w:spacing w:line="360" w:lineRule="auto"/>
        <w:rPr>
          <w:bCs/>
        </w:rPr>
      </w:pPr>
      <w:r>
        <w:rPr>
          <w:bCs/>
        </w:rPr>
        <w:t xml:space="preserve">Contributions to a </w:t>
      </w:r>
      <w:r w:rsidR="00FC6589">
        <w:rPr>
          <w:bCs/>
        </w:rPr>
        <w:t>529 account by a Missouri</w:t>
      </w:r>
      <w:r>
        <w:rPr>
          <w:bCs/>
        </w:rPr>
        <w:t xml:space="preserve"> income taxpayer receive tax treatment that is better than </w:t>
      </w:r>
      <w:r w:rsidRPr="00F16FF9">
        <w:rPr>
          <w:bCs/>
        </w:rPr>
        <w:t>a R</w:t>
      </w:r>
      <w:r>
        <w:rPr>
          <w:bCs/>
        </w:rPr>
        <w:t>oth</w:t>
      </w:r>
      <w:r w:rsidRPr="00F16FF9">
        <w:rPr>
          <w:bCs/>
        </w:rPr>
        <w:t xml:space="preserve"> IRA</w:t>
      </w:r>
      <w:r>
        <w:rPr>
          <w:bCs/>
        </w:rPr>
        <w:t>. F</w:t>
      </w:r>
      <w:r w:rsidR="00D269AA">
        <w:rPr>
          <w:bCs/>
        </w:rPr>
        <w:t>irst</w:t>
      </w:r>
      <w:r w:rsidR="00943419">
        <w:rPr>
          <w:bCs/>
        </w:rPr>
        <w:t>,</w:t>
      </w:r>
      <w:r w:rsidR="00D269AA">
        <w:rPr>
          <w:bCs/>
        </w:rPr>
        <w:t xml:space="preserve"> </w:t>
      </w:r>
      <w:r>
        <w:rPr>
          <w:bCs/>
        </w:rPr>
        <w:t xml:space="preserve">an unmarried individual with adjusted gross income (AGI) of $122,000 or higher is not allowed to contribute any money into </w:t>
      </w:r>
      <w:r w:rsidR="00503F16">
        <w:rPr>
          <w:bCs/>
        </w:rPr>
        <w:t xml:space="preserve">a </w:t>
      </w:r>
      <w:r>
        <w:rPr>
          <w:bCs/>
        </w:rPr>
        <w:t>Roth IRA for the year</w:t>
      </w:r>
      <w:r w:rsidR="00C05886">
        <w:rPr>
          <w:bCs/>
        </w:rPr>
        <w:t xml:space="preserve"> whereas</w:t>
      </w:r>
      <w:r>
        <w:rPr>
          <w:bCs/>
        </w:rPr>
        <w:t xml:space="preserve"> </w:t>
      </w:r>
      <w:r w:rsidR="00C05886">
        <w:rPr>
          <w:bCs/>
        </w:rPr>
        <w:t xml:space="preserve">such an individual can </w:t>
      </w:r>
      <w:r>
        <w:rPr>
          <w:bCs/>
        </w:rPr>
        <w:t>contribut</w:t>
      </w:r>
      <w:r w:rsidR="00C05886">
        <w:rPr>
          <w:bCs/>
        </w:rPr>
        <w:t>e</w:t>
      </w:r>
      <w:r>
        <w:rPr>
          <w:bCs/>
        </w:rPr>
        <w:t xml:space="preserve"> to a MOST account</w:t>
      </w:r>
      <w:r w:rsidR="00C05886">
        <w:rPr>
          <w:bCs/>
        </w:rPr>
        <w:t>. Even if an individual’s</w:t>
      </w:r>
      <w:r>
        <w:rPr>
          <w:bCs/>
        </w:rPr>
        <w:t xml:space="preserve"> AGI is low enough that the maximum contribution to a Roth IRA</w:t>
      </w:r>
      <w:r w:rsidR="00C05886">
        <w:rPr>
          <w:bCs/>
        </w:rPr>
        <w:t xml:space="preserve"> is allowed</w:t>
      </w:r>
      <w:r w:rsidR="00CA68D1">
        <w:rPr>
          <w:bCs/>
        </w:rPr>
        <w:t xml:space="preserve"> (</w:t>
      </w:r>
      <w:r>
        <w:rPr>
          <w:bCs/>
        </w:rPr>
        <w:t xml:space="preserve">$5,000 </w:t>
      </w:r>
      <w:r w:rsidR="00503F16">
        <w:rPr>
          <w:bCs/>
        </w:rPr>
        <w:t xml:space="preserve">if </w:t>
      </w:r>
      <w:r w:rsidR="00C05886">
        <w:rPr>
          <w:bCs/>
        </w:rPr>
        <w:t xml:space="preserve">under age 50 and </w:t>
      </w:r>
      <w:r>
        <w:rPr>
          <w:bCs/>
        </w:rPr>
        <w:t>$6,000 if age 50 or over</w:t>
      </w:r>
      <w:r w:rsidR="00CA68D1">
        <w:rPr>
          <w:bCs/>
        </w:rPr>
        <w:t>)</w:t>
      </w:r>
      <w:r>
        <w:rPr>
          <w:bCs/>
        </w:rPr>
        <w:t>,</w:t>
      </w:r>
      <w:r w:rsidR="00C05886">
        <w:rPr>
          <w:bCs/>
        </w:rPr>
        <w:t xml:space="preserve"> a</w:t>
      </w:r>
      <w:r>
        <w:rPr>
          <w:bCs/>
        </w:rPr>
        <w:t xml:space="preserve"> larger amount can be contributed to a MOST account. </w:t>
      </w:r>
      <w:r w:rsidR="00104498">
        <w:rPr>
          <w:bCs/>
        </w:rPr>
        <w:t>Th</w:t>
      </w:r>
      <w:r w:rsidR="00C05886">
        <w:rPr>
          <w:bCs/>
        </w:rPr>
        <w:t>e greatest advantage though is that</w:t>
      </w:r>
      <w:r>
        <w:rPr>
          <w:bCs/>
        </w:rPr>
        <w:t xml:space="preserve"> </w:t>
      </w:r>
      <w:r w:rsidR="00D269AA">
        <w:rPr>
          <w:bCs/>
        </w:rPr>
        <w:t xml:space="preserve">Roth </w:t>
      </w:r>
      <w:r w:rsidR="00104498">
        <w:rPr>
          <w:bCs/>
        </w:rPr>
        <w:t xml:space="preserve">contributions do not generate </w:t>
      </w:r>
      <w:r w:rsidR="00A57BE7">
        <w:rPr>
          <w:bCs/>
        </w:rPr>
        <w:t xml:space="preserve">any tax deductions whereas </w:t>
      </w:r>
      <w:r>
        <w:rPr>
          <w:bCs/>
        </w:rPr>
        <w:t xml:space="preserve">the first $8,000 contributed </w:t>
      </w:r>
      <w:r w:rsidR="00104498">
        <w:rPr>
          <w:bCs/>
        </w:rPr>
        <w:t xml:space="preserve">to a </w:t>
      </w:r>
      <w:r w:rsidR="00A57BE7">
        <w:rPr>
          <w:bCs/>
        </w:rPr>
        <w:t xml:space="preserve">529 </w:t>
      </w:r>
      <w:r w:rsidR="00104498">
        <w:rPr>
          <w:bCs/>
        </w:rPr>
        <w:t xml:space="preserve">account </w:t>
      </w:r>
      <w:r w:rsidR="00503F16">
        <w:rPr>
          <w:bCs/>
        </w:rPr>
        <w:t>by a M</w:t>
      </w:r>
      <w:r w:rsidR="00D269AA">
        <w:rPr>
          <w:bCs/>
        </w:rPr>
        <w:t>issouri</w:t>
      </w:r>
      <w:r w:rsidR="00503F16">
        <w:rPr>
          <w:bCs/>
        </w:rPr>
        <w:t xml:space="preserve"> income taxpayer is </w:t>
      </w:r>
      <w:r>
        <w:rPr>
          <w:bCs/>
        </w:rPr>
        <w:t>a</w:t>
      </w:r>
      <w:r w:rsidR="00104498">
        <w:rPr>
          <w:bCs/>
        </w:rPr>
        <w:t>n “above-the-line”</w:t>
      </w:r>
      <w:r w:rsidR="00FC6589">
        <w:rPr>
          <w:bCs/>
        </w:rPr>
        <w:t xml:space="preserve"> Missouri</w:t>
      </w:r>
      <w:r>
        <w:rPr>
          <w:bCs/>
        </w:rPr>
        <w:t xml:space="preserve"> income tax deduction. If married filing a combined MO-1040 tax return </w:t>
      </w:r>
      <w:r w:rsidR="00104498">
        <w:rPr>
          <w:bCs/>
        </w:rPr>
        <w:t xml:space="preserve">and both </w:t>
      </w:r>
      <w:r>
        <w:rPr>
          <w:bCs/>
        </w:rPr>
        <w:t>spouse</w:t>
      </w:r>
      <w:r w:rsidR="00104498">
        <w:rPr>
          <w:bCs/>
        </w:rPr>
        <w:t>s</w:t>
      </w:r>
      <w:r>
        <w:rPr>
          <w:bCs/>
        </w:rPr>
        <w:t xml:space="preserve"> contribute $8,000 to </w:t>
      </w:r>
      <w:r w:rsidR="00503F16">
        <w:rPr>
          <w:bCs/>
        </w:rPr>
        <w:t xml:space="preserve">529 </w:t>
      </w:r>
      <w:r>
        <w:rPr>
          <w:bCs/>
        </w:rPr>
        <w:t>accounts th</w:t>
      </w:r>
      <w:r w:rsidR="00A57BE7">
        <w:rPr>
          <w:bCs/>
        </w:rPr>
        <w:t>at each one owns</w:t>
      </w:r>
      <w:r w:rsidR="00104498">
        <w:rPr>
          <w:bCs/>
        </w:rPr>
        <w:t>,</w:t>
      </w:r>
      <w:r>
        <w:rPr>
          <w:bCs/>
        </w:rPr>
        <w:t xml:space="preserve"> t</w:t>
      </w:r>
      <w:r w:rsidRPr="00782E1E">
        <w:rPr>
          <w:bCs/>
        </w:rPr>
        <w:t xml:space="preserve">he </w:t>
      </w:r>
      <w:r>
        <w:rPr>
          <w:bCs/>
        </w:rPr>
        <w:t>total deduction on the</w:t>
      </w:r>
      <w:r w:rsidR="00503F16">
        <w:rPr>
          <w:bCs/>
        </w:rPr>
        <w:t>ir</w:t>
      </w:r>
      <w:r>
        <w:rPr>
          <w:bCs/>
        </w:rPr>
        <w:t xml:space="preserve"> MO-1040 will be </w:t>
      </w:r>
      <w:r w:rsidRPr="00782E1E">
        <w:rPr>
          <w:bCs/>
        </w:rPr>
        <w:t>$</w:t>
      </w:r>
      <w:r>
        <w:rPr>
          <w:bCs/>
        </w:rPr>
        <w:t>16</w:t>
      </w:r>
      <w:r w:rsidRPr="00782E1E">
        <w:rPr>
          <w:bCs/>
        </w:rPr>
        <w:t>,000.</w:t>
      </w:r>
      <w:r>
        <w:rPr>
          <w:bCs/>
        </w:rPr>
        <w:t xml:space="preserve"> </w:t>
      </w:r>
    </w:p>
    <w:p w:rsidR="0011201E" w:rsidRDefault="0011201E" w:rsidP="006D1E69">
      <w:pPr>
        <w:spacing w:line="360" w:lineRule="auto"/>
        <w:rPr>
          <w:bCs/>
        </w:rPr>
      </w:pPr>
    </w:p>
    <w:p w:rsidR="00943419" w:rsidRDefault="00943419" w:rsidP="006D1E69">
      <w:pPr>
        <w:spacing w:line="360" w:lineRule="auto"/>
        <w:rPr>
          <w:bCs/>
        </w:rPr>
      </w:pPr>
    </w:p>
    <w:p w:rsidR="0011201E" w:rsidRPr="00DB49B6" w:rsidRDefault="0011201E" w:rsidP="006D1E69">
      <w:pPr>
        <w:spacing w:line="360" w:lineRule="auto"/>
        <w:rPr>
          <w:bCs/>
          <w:color w:val="1F497D" w:themeColor="text2"/>
        </w:rPr>
      </w:pPr>
      <w:r w:rsidRPr="00DB49B6">
        <w:rPr>
          <w:bCs/>
          <w:color w:val="1F497D" w:themeColor="text2"/>
        </w:rPr>
        <w:t>STATE INCOME TAX SAVINGS</w:t>
      </w:r>
      <w:r w:rsidR="00104498">
        <w:rPr>
          <w:bCs/>
          <w:color w:val="1F497D" w:themeColor="text2"/>
        </w:rPr>
        <w:t xml:space="preserve"> AND </w:t>
      </w:r>
      <w:r w:rsidR="001C696F">
        <w:rPr>
          <w:bCs/>
          <w:color w:val="1F497D" w:themeColor="text2"/>
        </w:rPr>
        <w:t>CHOICE AMONG STATE 529 PLANS</w:t>
      </w:r>
    </w:p>
    <w:p w:rsidR="00C65EB3" w:rsidRDefault="00D71E77" w:rsidP="00943419">
      <w:pPr>
        <w:spacing w:line="360" w:lineRule="auto"/>
        <w:rPr>
          <w:bCs/>
        </w:rPr>
      </w:pPr>
      <w:r>
        <w:rPr>
          <w:bCs/>
        </w:rPr>
        <w:t xml:space="preserve">Under the tax law in most states, the only way to save state income tax on a contribution to a 529 plan is if an income taxpayer in a particular state </w:t>
      </w:r>
      <w:r w:rsidR="00A57BE7">
        <w:rPr>
          <w:bCs/>
        </w:rPr>
        <w:t>contribut</w:t>
      </w:r>
      <w:r>
        <w:rPr>
          <w:bCs/>
        </w:rPr>
        <w:t xml:space="preserve">es to a </w:t>
      </w:r>
      <w:r w:rsidR="00A57BE7">
        <w:rPr>
          <w:bCs/>
        </w:rPr>
        <w:t xml:space="preserve">529 plan </w:t>
      </w:r>
      <w:r>
        <w:rPr>
          <w:bCs/>
        </w:rPr>
        <w:t xml:space="preserve">in </w:t>
      </w:r>
      <w:r w:rsidR="00A57BE7">
        <w:rPr>
          <w:bCs/>
        </w:rPr>
        <w:t xml:space="preserve">that </w:t>
      </w:r>
      <w:r w:rsidRPr="0058229A">
        <w:rPr>
          <w:bCs/>
        </w:rPr>
        <w:t>same</w:t>
      </w:r>
      <w:r>
        <w:rPr>
          <w:bCs/>
        </w:rPr>
        <w:t xml:space="preserve"> </w:t>
      </w:r>
      <w:r w:rsidR="00A57BE7">
        <w:rPr>
          <w:bCs/>
        </w:rPr>
        <w:t xml:space="preserve">state. </w:t>
      </w:r>
      <w:r w:rsidR="00D82068">
        <w:rPr>
          <w:bCs/>
        </w:rPr>
        <w:t>A</w:t>
      </w:r>
      <w:r w:rsidR="00434019">
        <w:rPr>
          <w:bCs/>
        </w:rPr>
        <w:t xml:space="preserve"> Missouri</w:t>
      </w:r>
      <w:r>
        <w:rPr>
          <w:bCs/>
        </w:rPr>
        <w:t xml:space="preserve"> income taxpayer </w:t>
      </w:r>
      <w:r w:rsidR="0058229A">
        <w:rPr>
          <w:bCs/>
        </w:rPr>
        <w:t xml:space="preserve">saves tax on </w:t>
      </w:r>
      <w:r w:rsidR="00A57BE7">
        <w:rPr>
          <w:bCs/>
        </w:rPr>
        <w:t>contributions</w:t>
      </w:r>
      <w:r w:rsidR="00E95A78">
        <w:rPr>
          <w:bCs/>
        </w:rPr>
        <w:t xml:space="preserve"> </w:t>
      </w:r>
      <w:r w:rsidR="00A57BE7">
        <w:rPr>
          <w:bCs/>
        </w:rPr>
        <w:t xml:space="preserve">made to </w:t>
      </w:r>
      <w:r w:rsidR="0058229A" w:rsidRPr="0058229A">
        <w:rPr>
          <w:bCs/>
          <w:i/>
        </w:rPr>
        <w:t>any</w:t>
      </w:r>
      <w:r w:rsidR="0058229A">
        <w:rPr>
          <w:bCs/>
        </w:rPr>
        <w:t xml:space="preserve"> state 529 account.</w:t>
      </w:r>
      <w:r w:rsidR="00A57BE7">
        <w:rPr>
          <w:bCs/>
        </w:rPr>
        <w:t xml:space="preserve"> </w:t>
      </w:r>
      <w:r w:rsidR="00434019">
        <w:rPr>
          <w:bCs/>
        </w:rPr>
        <w:t>Missouri</w:t>
      </w:r>
      <w:r w:rsidR="0058229A">
        <w:rPr>
          <w:bCs/>
        </w:rPr>
        <w:t xml:space="preserve"> is one of only a few states that offer this option. </w:t>
      </w:r>
      <w:r w:rsidR="00434019">
        <w:rPr>
          <w:bCs/>
        </w:rPr>
        <w:t>To receive the maximum Missouri</w:t>
      </w:r>
      <w:r w:rsidR="0058229A">
        <w:rPr>
          <w:bCs/>
        </w:rPr>
        <w:t xml:space="preserve"> i</w:t>
      </w:r>
      <w:r w:rsidR="00434019">
        <w:rPr>
          <w:bCs/>
        </w:rPr>
        <w:t>ncome tax savings of $480 the Missouri</w:t>
      </w:r>
      <w:r w:rsidR="0058229A">
        <w:rPr>
          <w:bCs/>
        </w:rPr>
        <w:t xml:space="preserve"> taxpayer must contribute $8,000 to state </w:t>
      </w:r>
      <w:r w:rsidR="00A57BE7">
        <w:rPr>
          <w:bCs/>
        </w:rPr>
        <w:t>529 account</w:t>
      </w:r>
      <w:r w:rsidR="0058229A">
        <w:rPr>
          <w:bCs/>
        </w:rPr>
        <w:t>s</w:t>
      </w:r>
      <w:r w:rsidR="00A57BE7">
        <w:rPr>
          <w:bCs/>
        </w:rPr>
        <w:t xml:space="preserve"> </w:t>
      </w:r>
      <w:r w:rsidR="0058229A">
        <w:rPr>
          <w:bCs/>
        </w:rPr>
        <w:t xml:space="preserve">and </w:t>
      </w:r>
      <w:r w:rsidR="00950A15">
        <w:rPr>
          <w:bCs/>
        </w:rPr>
        <w:t xml:space="preserve">be subject to Missouri’s highest individual income tax rate of 6%, which occurs when </w:t>
      </w:r>
      <w:r w:rsidR="00434019">
        <w:rPr>
          <w:bCs/>
        </w:rPr>
        <w:t>Missouri</w:t>
      </w:r>
      <w:r w:rsidR="00E95A78">
        <w:rPr>
          <w:bCs/>
        </w:rPr>
        <w:t xml:space="preserve"> taxable income </w:t>
      </w:r>
      <w:r w:rsidR="00950A15">
        <w:rPr>
          <w:bCs/>
        </w:rPr>
        <w:t xml:space="preserve">exceeds </w:t>
      </w:r>
      <w:r w:rsidR="00E95A78">
        <w:rPr>
          <w:bCs/>
        </w:rPr>
        <w:t>$9,000</w:t>
      </w:r>
      <w:r w:rsidR="008C38E1">
        <w:rPr>
          <w:bCs/>
        </w:rPr>
        <w:t xml:space="preserve">. </w:t>
      </w:r>
      <w:r w:rsidR="00943419">
        <w:rPr>
          <w:bCs/>
        </w:rPr>
        <w:t>Such a</w:t>
      </w:r>
      <w:r w:rsidR="00E21E0D">
        <w:rPr>
          <w:bCs/>
        </w:rPr>
        <w:t xml:space="preserve"> taxpayer receives more state tax savings than a resident of a</w:t>
      </w:r>
      <w:r w:rsidR="00ED2540">
        <w:rPr>
          <w:bCs/>
        </w:rPr>
        <w:t xml:space="preserve">lmost every </w:t>
      </w:r>
      <w:r w:rsidR="00E21E0D">
        <w:rPr>
          <w:bCs/>
        </w:rPr>
        <w:t xml:space="preserve">other state contributing </w:t>
      </w:r>
      <w:r w:rsidR="00ED2540">
        <w:rPr>
          <w:bCs/>
        </w:rPr>
        <w:t>the same amount</w:t>
      </w:r>
      <w:r w:rsidR="00E21E0D">
        <w:rPr>
          <w:bCs/>
        </w:rPr>
        <w:t xml:space="preserve"> to </w:t>
      </w:r>
      <w:r w:rsidR="008E4E9D">
        <w:rPr>
          <w:bCs/>
        </w:rPr>
        <w:t xml:space="preserve">a </w:t>
      </w:r>
      <w:r w:rsidR="00ED2540">
        <w:rPr>
          <w:bCs/>
        </w:rPr>
        <w:t xml:space="preserve">529 account in his or her </w:t>
      </w:r>
      <w:r w:rsidR="00E21E0D">
        <w:rPr>
          <w:bCs/>
        </w:rPr>
        <w:t>state</w:t>
      </w:r>
      <w:r w:rsidR="00ED2540">
        <w:rPr>
          <w:bCs/>
        </w:rPr>
        <w:t xml:space="preserve">. </w:t>
      </w:r>
      <w:r w:rsidR="00E456E6">
        <w:rPr>
          <w:bCs/>
        </w:rPr>
        <w:t xml:space="preserve"> </w:t>
      </w:r>
    </w:p>
    <w:p w:rsidR="00004D84" w:rsidRDefault="00004D84" w:rsidP="006D1E69">
      <w:pPr>
        <w:spacing w:line="360" w:lineRule="auto"/>
        <w:rPr>
          <w:bCs/>
          <w:color w:val="1F497D" w:themeColor="text2"/>
        </w:rPr>
      </w:pPr>
    </w:p>
    <w:p w:rsidR="00943419" w:rsidRDefault="00943419" w:rsidP="006D1E69">
      <w:pPr>
        <w:spacing w:line="360" w:lineRule="auto"/>
        <w:rPr>
          <w:bCs/>
          <w:color w:val="1F497D" w:themeColor="text2"/>
        </w:rPr>
      </w:pPr>
    </w:p>
    <w:p w:rsidR="00104498" w:rsidRPr="00DB49B6" w:rsidRDefault="00104498" w:rsidP="006D1E69">
      <w:pPr>
        <w:spacing w:line="360" w:lineRule="auto"/>
        <w:rPr>
          <w:bCs/>
          <w:color w:val="1F497D" w:themeColor="text2"/>
        </w:rPr>
      </w:pPr>
      <w:r w:rsidRPr="00DB49B6">
        <w:rPr>
          <w:bCs/>
          <w:color w:val="1F497D" w:themeColor="text2"/>
        </w:rPr>
        <w:t xml:space="preserve">TAX </w:t>
      </w:r>
      <w:r>
        <w:rPr>
          <w:bCs/>
          <w:color w:val="1F497D" w:themeColor="text2"/>
        </w:rPr>
        <w:t xml:space="preserve">SAVINGS </w:t>
      </w:r>
      <w:r w:rsidR="008E4E9D">
        <w:rPr>
          <w:bCs/>
          <w:color w:val="1F497D" w:themeColor="text2"/>
        </w:rPr>
        <w:t xml:space="preserve">ARE </w:t>
      </w:r>
      <w:r>
        <w:rPr>
          <w:bCs/>
          <w:color w:val="1F497D" w:themeColor="text2"/>
        </w:rPr>
        <w:t xml:space="preserve">INDIRECT </w:t>
      </w:r>
      <w:r w:rsidR="00976244">
        <w:rPr>
          <w:bCs/>
          <w:color w:val="1F497D" w:themeColor="text2"/>
        </w:rPr>
        <w:t>ASSISTANCE WITH HIGHER EDUCATION COSTS</w:t>
      </w:r>
    </w:p>
    <w:p w:rsidR="00104498" w:rsidRDefault="00104498" w:rsidP="006D1E69">
      <w:pPr>
        <w:spacing w:line="360" w:lineRule="auto"/>
        <w:rPr>
          <w:bCs/>
        </w:rPr>
      </w:pPr>
      <w:r>
        <w:rPr>
          <w:bCs/>
        </w:rPr>
        <w:t xml:space="preserve">The traditional types of assistance in paying higher education costs </w:t>
      </w:r>
      <w:r w:rsidR="00FC5670">
        <w:rPr>
          <w:bCs/>
        </w:rPr>
        <w:t xml:space="preserve">that </w:t>
      </w:r>
      <w:r w:rsidR="008E4E9D">
        <w:rPr>
          <w:bCs/>
        </w:rPr>
        <w:t xml:space="preserve">one thinks of </w:t>
      </w:r>
      <w:r>
        <w:rPr>
          <w:bCs/>
        </w:rPr>
        <w:t>are grants, scholarships, and loans. Students</w:t>
      </w:r>
      <w:r w:rsidR="003C1614">
        <w:rPr>
          <w:bCs/>
        </w:rPr>
        <w:t xml:space="preserve"> and financial advisors should broaden their view to include </w:t>
      </w:r>
      <w:r>
        <w:rPr>
          <w:bCs/>
        </w:rPr>
        <w:t>ta</w:t>
      </w:r>
      <w:r w:rsidR="00434019">
        <w:rPr>
          <w:bCs/>
        </w:rPr>
        <w:t xml:space="preserve">x savings. Contributing to a </w:t>
      </w:r>
      <w:r>
        <w:rPr>
          <w:bCs/>
        </w:rPr>
        <w:t xml:space="preserve">MOST account </w:t>
      </w:r>
      <w:r w:rsidR="008E4E9D">
        <w:rPr>
          <w:bCs/>
        </w:rPr>
        <w:t xml:space="preserve">to generate tax savings </w:t>
      </w:r>
      <w:r>
        <w:rPr>
          <w:bCs/>
        </w:rPr>
        <w:t xml:space="preserve">then withdrawing the money shortly thereafter strikes many people as “odd” and “too good to be true,” but it is not. The tax savings represent assistance </w:t>
      </w:r>
      <w:r w:rsidR="008E4E9D">
        <w:rPr>
          <w:bCs/>
        </w:rPr>
        <w:t xml:space="preserve">provided by </w:t>
      </w:r>
      <w:r w:rsidR="00434019">
        <w:rPr>
          <w:bCs/>
        </w:rPr>
        <w:t>the state of Missouri</w:t>
      </w:r>
      <w:r>
        <w:rPr>
          <w:bCs/>
        </w:rPr>
        <w:t xml:space="preserve"> to </w:t>
      </w:r>
      <w:r w:rsidR="00950A15">
        <w:rPr>
          <w:bCs/>
        </w:rPr>
        <w:t xml:space="preserve">its </w:t>
      </w:r>
      <w:r w:rsidR="008E4E9D">
        <w:rPr>
          <w:bCs/>
        </w:rPr>
        <w:t xml:space="preserve">individual </w:t>
      </w:r>
      <w:r w:rsidR="00950A15">
        <w:rPr>
          <w:bCs/>
        </w:rPr>
        <w:t xml:space="preserve">income taxpayers </w:t>
      </w:r>
      <w:r w:rsidR="008E4E9D">
        <w:rPr>
          <w:bCs/>
        </w:rPr>
        <w:t xml:space="preserve">that </w:t>
      </w:r>
      <w:r w:rsidR="00950A15">
        <w:rPr>
          <w:bCs/>
        </w:rPr>
        <w:t xml:space="preserve">will be </w:t>
      </w:r>
      <w:r>
        <w:rPr>
          <w:bCs/>
        </w:rPr>
        <w:t>pay</w:t>
      </w:r>
      <w:r w:rsidR="00950A15">
        <w:rPr>
          <w:bCs/>
        </w:rPr>
        <w:t>ing</w:t>
      </w:r>
      <w:r>
        <w:rPr>
          <w:bCs/>
        </w:rPr>
        <w:t xml:space="preserve"> higher education costs. </w:t>
      </w:r>
    </w:p>
    <w:p w:rsidR="00943419" w:rsidRDefault="00943419" w:rsidP="006D1E69">
      <w:pPr>
        <w:spacing w:line="360" w:lineRule="auto"/>
        <w:rPr>
          <w:bCs/>
        </w:rPr>
      </w:pPr>
    </w:p>
    <w:p w:rsidR="00943419" w:rsidRDefault="00943419" w:rsidP="006D1E69">
      <w:pPr>
        <w:spacing w:line="360" w:lineRule="auto"/>
        <w:rPr>
          <w:bCs/>
        </w:rPr>
      </w:pPr>
    </w:p>
    <w:p w:rsidR="004629A1" w:rsidRPr="00DB49B6" w:rsidRDefault="00CB1F90" w:rsidP="006D1E69">
      <w:pPr>
        <w:spacing w:line="360" w:lineRule="auto"/>
        <w:rPr>
          <w:bCs/>
          <w:color w:val="1F497D" w:themeColor="text2"/>
        </w:rPr>
      </w:pPr>
      <w:r w:rsidRPr="00DB49B6">
        <w:rPr>
          <w:bCs/>
          <w:color w:val="1F497D" w:themeColor="text2"/>
        </w:rPr>
        <w:t>IMPACT ON FEDERAL TAX</w:t>
      </w:r>
      <w:r w:rsidR="003B734E">
        <w:rPr>
          <w:bCs/>
          <w:color w:val="1F497D" w:themeColor="text2"/>
        </w:rPr>
        <w:t>ES</w:t>
      </w:r>
      <w:r w:rsidRPr="00DB49B6">
        <w:rPr>
          <w:bCs/>
          <w:color w:val="1F497D" w:themeColor="text2"/>
        </w:rPr>
        <w:t xml:space="preserve"> </w:t>
      </w:r>
      <w:r w:rsidR="003F523A" w:rsidRPr="00DB49B6">
        <w:rPr>
          <w:bCs/>
          <w:color w:val="1F497D" w:themeColor="text2"/>
        </w:rPr>
        <w:t>AND FINANCIAL AID</w:t>
      </w:r>
    </w:p>
    <w:p w:rsidR="00943419" w:rsidRDefault="009600F5" w:rsidP="006D1E69">
      <w:pPr>
        <w:spacing w:line="360" w:lineRule="auto"/>
        <w:rPr>
          <w:bCs/>
        </w:rPr>
      </w:pPr>
      <w:r>
        <w:rPr>
          <w:bCs/>
        </w:rPr>
        <w:t>Since a</w:t>
      </w:r>
      <w:r w:rsidR="00E50049">
        <w:rPr>
          <w:bCs/>
        </w:rPr>
        <w:t xml:space="preserve"> </w:t>
      </w:r>
      <w:r w:rsidR="00434019">
        <w:rPr>
          <w:bCs/>
        </w:rPr>
        <w:t>Missouri</w:t>
      </w:r>
      <w:r w:rsidR="004629A1">
        <w:rPr>
          <w:bCs/>
        </w:rPr>
        <w:t xml:space="preserve"> income taxpayer </w:t>
      </w:r>
      <w:r w:rsidR="00E50049">
        <w:rPr>
          <w:bCs/>
        </w:rPr>
        <w:t>contribu</w:t>
      </w:r>
      <w:r w:rsidR="00434019">
        <w:rPr>
          <w:bCs/>
        </w:rPr>
        <w:t>ting to a 529 account reduces Missouri</w:t>
      </w:r>
      <w:r w:rsidR="00E50049">
        <w:rPr>
          <w:bCs/>
        </w:rPr>
        <w:t xml:space="preserve"> income tax</w:t>
      </w:r>
      <w:r>
        <w:rPr>
          <w:bCs/>
        </w:rPr>
        <w:t>, and</w:t>
      </w:r>
      <w:r w:rsidR="00E50049">
        <w:rPr>
          <w:bCs/>
        </w:rPr>
        <w:t xml:space="preserve"> </w:t>
      </w:r>
      <w:r>
        <w:rPr>
          <w:bCs/>
        </w:rPr>
        <w:t>f</w:t>
      </w:r>
      <w:r w:rsidR="00E50049">
        <w:rPr>
          <w:bCs/>
        </w:rPr>
        <w:t>ederal itemized deductions include state income tax</w:t>
      </w:r>
      <w:r>
        <w:rPr>
          <w:bCs/>
        </w:rPr>
        <w:t>,</w:t>
      </w:r>
      <w:r w:rsidR="00E50049">
        <w:rPr>
          <w:bCs/>
        </w:rPr>
        <w:t xml:space="preserve"> if </w:t>
      </w:r>
      <w:r>
        <w:rPr>
          <w:bCs/>
        </w:rPr>
        <w:t xml:space="preserve">such </w:t>
      </w:r>
      <w:r w:rsidR="00E50049">
        <w:rPr>
          <w:bCs/>
        </w:rPr>
        <w:t xml:space="preserve">taxpayer itemizes </w:t>
      </w:r>
      <w:r w:rsidR="00550EA4">
        <w:rPr>
          <w:bCs/>
        </w:rPr>
        <w:t xml:space="preserve">deductions </w:t>
      </w:r>
      <w:r w:rsidR="00D52065">
        <w:rPr>
          <w:bCs/>
        </w:rPr>
        <w:t xml:space="preserve">on Form 1040 </w:t>
      </w:r>
      <w:r w:rsidR="00550EA4">
        <w:rPr>
          <w:bCs/>
        </w:rPr>
        <w:t xml:space="preserve">instead of taking the standard deduction then </w:t>
      </w:r>
      <w:r w:rsidR="004629A1">
        <w:rPr>
          <w:bCs/>
        </w:rPr>
        <w:t xml:space="preserve">federal income tax </w:t>
      </w:r>
      <w:r w:rsidR="00550EA4">
        <w:rPr>
          <w:bCs/>
        </w:rPr>
        <w:t xml:space="preserve">effectively </w:t>
      </w:r>
      <w:r w:rsidR="00E50049">
        <w:rPr>
          <w:bCs/>
        </w:rPr>
        <w:t xml:space="preserve">increases </w:t>
      </w:r>
      <w:r>
        <w:rPr>
          <w:bCs/>
        </w:rPr>
        <w:t xml:space="preserve">due to </w:t>
      </w:r>
      <w:r w:rsidR="00E50049">
        <w:rPr>
          <w:bCs/>
        </w:rPr>
        <w:t>contributin</w:t>
      </w:r>
      <w:r w:rsidR="00550EA4">
        <w:rPr>
          <w:bCs/>
        </w:rPr>
        <w:t>g to a 529 account</w:t>
      </w:r>
      <w:r w:rsidR="00E50049">
        <w:rPr>
          <w:bCs/>
        </w:rPr>
        <w:t>.</w:t>
      </w:r>
      <w:r w:rsidR="004629A1">
        <w:rPr>
          <w:bCs/>
        </w:rPr>
        <w:t xml:space="preserve"> </w:t>
      </w:r>
      <w:r w:rsidR="00550EA4">
        <w:rPr>
          <w:bCs/>
        </w:rPr>
        <w:t xml:space="preserve">However, the </w:t>
      </w:r>
      <w:r w:rsidR="004629A1">
        <w:rPr>
          <w:bCs/>
        </w:rPr>
        <w:t xml:space="preserve">increase in federal income tax is </w:t>
      </w:r>
      <w:r w:rsidR="0017726F">
        <w:rPr>
          <w:bCs/>
        </w:rPr>
        <w:t xml:space="preserve">significantly </w:t>
      </w:r>
      <w:r w:rsidR="00434019">
        <w:rPr>
          <w:bCs/>
        </w:rPr>
        <w:t>less than the reduction in Missouri</w:t>
      </w:r>
      <w:r w:rsidR="004629A1">
        <w:rPr>
          <w:bCs/>
        </w:rPr>
        <w:t xml:space="preserve"> income tax. </w:t>
      </w:r>
      <w:r w:rsidR="00BF506C">
        <w:rPr>
          <w:bCs/>
        </w:rPr>
        <w:t xml:space="preserve">If </w:t>
      </w:r>
      <w:r>
        <w:rPr>
          <w:bCs/>
        </w:rPr>
        <w:t xml:space="preserve">a </w:t>
      </w:r>
      <w:r w:rsidR="00E50049">
        <w:rPr>
          <w:bCs/>
        </w:rPr>
        <w:t xml:space="preserve">taxpayer pays </w:t>
      </w:r>
      <w:r w:rsidR="00626887">
        <w:rPr>
          <w:bCs/>
        </w:rPr>
        <w:t xml:space="preserve">higher education costs that </w:t>
      </w:r>
      <w:r w:rsidR="003B734E">
        <w:rPr>
          <w:bCs/>
        </w:rPr>
        <w:t xml:space="preserve">qualify for </w:t>
      </w:r>
      <w:r>
        <w:rPr>
          <w:bCs/>
        </w:rPr>
        <w:t xml:space="preserve">federal </w:t>
      </w:r>
      <w:r w:rsidR="00550EA4">
        <w:rPr>
          <w:bCs/>
        </w:rPr>
        <w:t>tax credits</w:t>
      </w:r>
      <w:r>
        <w:rPr>
          <w:bCs/>
        </w:rPr>
        <w:t>,</w:t>
      </w:r>
      <w:r w:rsidR="00606D40">
        <w:rPr>
          <w:bCs/>
        </w:rPr>
        <w:t xml:space="preserve"> </w:t>
      </w:r>
      <w:r>
        <w:rPr>
          <w:bCs/>
        </w:rPr>
        <w:t>p</w:t>
      </w:r>
      <w:r w:rsidR="00E50049">
        <w:rPr>
          <w:bCs/>
        </w:rPr>
        <w:t xml:space="preserve">aying </w:t>
      </w:r>
      <w:r w:rsidR="003B734E">
        <w:rPr>
          <w:bCs/>
        </w:rPr>
        <w:t xml:space="preserve">such </w:t>
      </w:r>
      <w:r w:rsidR="00B233C8">
        <w:rPr>
          <w:bCs/>
        </w:rPr>
        <w:t>costs out of a 529 account</w:t>
      </w:r>
      <w:r w:rsidR="00606D40">
        <w:rPr>
          <w:bCs/>
        </w:rPr>
        <w:t xml:space="preserve"> </w:t>
      </w:r>
      <w:r w:rsidR="003B734E">
        <w:rPr>
          <w:bCs/>
        </w:rPr>
        <w:t xml:space="preserve">does not </w:t>
      </w:r>
      <w:r w:rsidR="00606D40">
        <w:rPr>
          <w:bCs/>
        </w:rPr>
        <w:t>negative</w:t>
      </w:r>
      <w:r w:rsidR="003B734E">
        <w:rPr>
          <w:bCs/>
        </w:rPr>
        <w:t>ly</w:t>
      </w:r>
      <w:r w:rsidR="00606D40">
        <w:rPr>
          <w:bCs/>
        </w:rPr>
        <w:t xml:space="preserve"> impact </w:t>
      </w:r>
      <w:r>
        <w:rPr>
          <w:bCs/>
        </w:rPr>
        <w:t xml:space="preserve">the </w:t>
      </w:r>
      <w:r w:rsidR="003B734E">
        <w:rPr>
          <w:bCs/>
        </w:rPr>
        <w:t>federal tax</w:t>
      </w:r>
      <w:r>
        <w:rPr>
          <w:bCs/>
        </w:rPr>
        <w:t xml:space="preserve"> savings</w:t>
      </w:r>
      <w:r w:rsidR="00943419">
        <w:rPr>
          <w:bCs/>
        </w:rPr>
        <w:t xml:space="preserve"> from the credits</w:t>
      </w:r>
      <w:r w:rsidR="00606D40">
        <w:rPr>
          <w:bCs/>
        </w:rPr>
        <w:t xml:space="preserve">. </w:t>
      </w:r>
      <w:r w:rsidR="00B233C8">
        <w:rPr>
          <w:bCs/>
        </w:rPr>
        <w:t xml:space="preserve">Further, contributing to a 529 account in the same year </w:t>
      </w:r>
      <w:r w:rsidR="00BF506C">
        <w:rPr>
          <w:bCs/>
        </w:rPr>
        <w:t>does not</w:t>
      </w:r>
      <w:r w:rsidR="00B233C8">
        <w:rPr>
          <w:bCs/>
        </w:rPr>
        <w:t xml:space="preserve"> negative</w:t>
      </w:r>
      <w:r w:rsidR="00BF506C">
        <w:rPr>
          <w:bCs/>
        </w:rPr>
        <w:t>ly</w:t>
      </w:r>
      <w:r w:rsidR="00B233C8">
        <w:rPr>
          <w:bCs/>
        </w:rPr>
        <w:t xml:space="preserve"> impact </w:t>
      </w:r>
      <w:r w:rsidR="00BF506C">
        <w:rPr>
          <w:bCs/>
        </w:rPr>
        <w:t xml:space="preserve">those </w:t>
      </w:r>
      <w:r w:rsidR="00B233C8">
        <w:rPr>
          <w:bCs/>
        </w:rPr>
        <w:t xml:space="preserve">federal tax credits. </w:t>
      </w:r>
    </w:p>
    <w:p w:rsidR="00943419" w:rsidRDefault="00943419" w:rsidP="006D1E69">
      <w:pPr>
        <w:spacing w:line="360" w:lineRule="auto"/>
        <w:rPr>
          <w:bCs/>
        </w:rPr>
      </w:pPr>
    </w:p>
    <w:p w:rsidR="009A4BC2" w:rsidRDefault="00CA44DE" w:rsidP="006D1E69">
      <w:pPr>
        <w:spacing w:line="360" w:lineRule="auto"/>
        <w:rPr>
          <w:bCs/>
        </w:rPr>
      </w:pPr>
      <w:r>
        <w:rPr>
          <w:bCs/>
        </w:rPr>
        <w:t xml:space="preserve">Regarding qualification for federal financial </w:t>
      </w:r>
      <w:r w:rsidR="00366E98">
        <w:rPr>
          <w:bCs/>
        </w:rPr>
        <w:t xml:space="preserve">aid, </w:t>
      </w:r>
      <w:r w:rsidR="00943419">
        <w:rPr>
          <w:bCs/>
        </w:rPr>
        <w:t xml:space="preserve">if a grandparent or other relative owns the 529 account, it has no negative impact. </w:t>
      </w:r>
      <w:r w:rsidR="00124769">
        <w:rPr>
          <w:bCs/>
        </w:rPr>
        <w:t>I</w:t>
      </w:r>
      <w:r w:rsidR="009A4BC2">
        <w:rPr>
          <w:bCs/>
        </w:rPr>
        <w:t xml:space="preserve">f a student qualifies as a dependent </w:t>
      </w:r>
      <w:r w:rsidR="00943419">
        <w:rPr>
          <w:bCs/>
        </w:rPr>
        <w:t xml:space="preserve">and a parent owns the 529 account, </w:t>
      </w:r>
      <w:r w:rsidR="009A4BC2">
        <w:rPr>
          <w:bCs/>
        </w:rPr>
        <w:t xml:space="preserve">there is a </w:t>
      </w:r>
      <w:r w:rsidR="00865A9F">
        <w:rPr>
          <w:bCs/>
        </w:rPr>
        <w:t>small</w:t>
      </w:r>
      <w:r w:rsidR="009A4BC2">
        <w:rPr>
          <w:bCs/>
        </w:rPr>
        <w:t>, negative impact. If a student owns the 529 account</w:t>
      </w:r>
      <w:r w:rsidR="00434019">
        <w:rPr>
          <w:bCs/>
        </w:rPr>
        <w:t>,</w:t>
      </w:r>
      <w:r w:rsidR="009A4BC2">
        <w:rPr>
          <w:bCs/>
        </w:rPr>
        <w:t xml:space="preserve"> </w:t>
      </w:r>
      <w:r w:rsidR="00BF506C">
        <w:rPr>
          <w:bCs/>
        </w:rPr>
        <w:t>benefit</w:t>
      </w:r>
      <w:r w:rsidR="00434019">
        <w:rPr>
          <w:bCs/>
        </w:rPr>
        <w:t>s</w:t>
      </w:r>
      <w:r w:rsidR="00BF506C">
        <w:rPr>
          <w:bCs/>
        </w:rPr>
        <w:t xml:space="preserve"> from </w:t>
      </w:r>
      <w:r w:rsidR="00434019">
        <w:rPr>
          <w:bCs/>
        </w:rPr>
        <w:t xml:space="preserve">it, </w:t>
      </w:r>
      <w:r w:rsidR="009A4BC2">
        <w:rPr>
          <w:bCs/>
        </w:rPr>
        <w:t>and is not a dependent</w:t>
      </w:r>
      <w:r w:rsidR="00434019">
        <w:rPr>
          <w:bCs/>
        </w:rPr>
        <w:t xml:space="preserve"> -</w:t>
      </w:r>
      <w:r w:rsidR="009A4BC2">
        <w:rPr>
          <w:bCs/>
        </w:rPr>
        <w:t xml:space="preserve"> the impact on federal financial aid </w:t>
      </w:r>
      <w:r w:rsidR="004575DC">
        <w:rPr>
          <w:bCs/>
        </w:rPr>
        <w:t xml:space="preserve">is that 20% of the </w:t>
      </w:r>
      <w:r w:rsidR="00BF506C">
        <w:rPr>
          <w:bCs/>
        </w:rPr>
        <w:t xml:space="preserve">amount in the </w:t>
      </w:r>
      <w:r w:rsidR="004575DC">
        <w:rPr>
          <w:bCs/>
        </w:rPr>
        <w:t>529 account is considered to be available to pay for higher education costs</w:t>
      </w:r>
      <w:r w:rsidR="00366E98">
        <w:rPr>
          <w:bCs/>
        </w:rPr>
        <w:t xml:space="preserve"> </w:t>
      </w:r>
      <w:r w:rsidR="00124769">
        <w:rPr>
          <w:bCs/>
        </w:rPr>
        <w:t>so</w:t>
      </w:r>
      <w:r w:rsidR="00366E98">
        <w:rPr>
          <w:bCs/>
        </w:rPr>
        <w:t xml:space="preserve"> the account can reduce the amount of federal </w:t>
      </w:r>
      <w:r w:rsidR="00124769">
        <w:rPr>
          <w:bCs/>
        </w:rPr>
        <w:t xml:space="preserve">student loans and/or </w:t>
      </w:r>
      <w:r w:rsidR="00366E98">
        <w:rPr>
          <w:bCs/>
        </w:rPr>
        <w:t xml:space="preserve">grants the student is eligible to receive.  </w:t>
      </w:r>
      <w:r w:rsidR="00434019">
        <w:rPr>
          <w:bCs/>
        </w:rPr>
        <w:t xml:space="preserve"> </w:t>
      </w:r>
      <w:r>
        <w:rPr>
          <w:bCs/>
        </w:rPr>
        <w:t xml:space="preserve"> </w:t>
      </w:r>
      <w:r w:rsidR="0047456D">
        <w:rPr>
          <w:bCs/>
        </w:rPr>
        <w:t xml:space="preserve"> </w:t>
      </w:r>
    </w:p>
    <w:p w:rsidR="004575DC" w:rsidRDefault="004575DC" w:rsidP="006D1E69">
      <w:pPr>
        <w:spacing w:line="360" w:lineRule="auto"/>
        <w:rPr>
          <w:bCs/>
        </w:rPr>
      </w:pPr>
    </w:p>
    <w:p w:rsidR="00865A9F" w:rsidRDefault="00865A9F" w:rsidP="006D1E69">
      <w:pPr>
        <w:spacing w:line="360" w:lineRule="auto"/>
        <w:rPr>
          <w:bCs/>
        </w:rPr>
      </w:pPr>
    </w:p>
    <w:p w:rsidR="00E0687A" w:rsidRPr="00DB49B6" w:rsidRDefault="00E0687A" w:rsidP="006D1E69">
      <w:pPr>
        <w:spacing w:line="360" w:lineRule="auto"/>
        <w:rPr>
          <w:bCs/>
          <w:color w:val="1F497D" w:themeColor="text2"/>
        </w:rPr>
      </w:pPr>
      <w:r w:rsidRPr="00DB49B6">
        <w:rPr>
          <w:bCs/>
          <w:color w:val="1F497D" w:themeColor="text2"/>
        </w:rPr>
        <w:t>CONCLUSION</w:t>
      </w:r>
    </w:p>
    <w:p w:rsidR="00354138" w:rsidRDefault="00434019" w:rsidP="006D1E69">
      <w:pPr>
        <w:spacing w:line="360" w:lineRule="auto"/>
        <w:rPr>
          <w:bCs/>
        </w:rPr>
      </w:pPr>
      <w:r>
        <w:rPr>
          <w:bCs/>
        </w:rPr>
        <w:t>Whether a Missouri</w:t>
      </w:r>
      <w:r w:rsidR="00B41DF0">
        <w:rPr>
          <w:bCs/>
        </w:rPr>
        <w:t xml:space="preserve"> income taxpayer is a parent</w:t>
      </w:r>
      <w:r w:rsidR="00865A9F">
        <w:rPr>
          <w:bCs/>
        </w:rPr>
        <w:t xml:space="preserve"> </w:t>
      </w:r>
      <w:r w:rsidR="00B41DF0">
        <w:rPr>
          <w:bCs/>
        </w:rPr>
        <w:t>contribut</w:t>
      </w:r>
      <w:r w:rsidR="00972CF9">
        <w:rPr>
          <w:bCs/>
        </w:rPr>
        <w:t>ing</w:t>
      </w:r>
      <w:r w:rsidR="00B41DF0">
        <w:rPr>
          <w:bCs/>
        </w:rPr>
        <w:t xml:space="preserve"> to a 529 account for a </w:t>
      </w:r>
      <w:r w:rsidR="0047456D">
        <w:rPr>
          <w:bCs/>
        </w:rPr>
        <w:t>dependent</w:t>
      </w:r>
      <w:r w:rsidR="00865A9F">
        <w:rPr>
          <w:bCs/>
        </w:rPr>
        <w:t xml:space="preserve">, </w:t>
      </w:r>
      <w:r w:rsidR="0047456D">
        <w:rPr>
          <w:bCs/>
        </w:rPr>
        <w:t xml:space="preserve">or </w:t>
      </w:r>
      <w:r w:rsidR="00865A9F">
        <w:rPr>
          <w:bCs/>
        </w:rPr>
        <w:t>a grandparent contributing to a 529 account for a grandchild,</w:t>
      </w:r>
      <w:r w:rsidR="00B41DF0">
        <w:rPr>
          <w:bCs/>
        </w:rPr>
        <w:t xml:space="preserve"> </w:t>
      </w:r>
      <w:r w:rsidR="0047456D">
        <w:rPr>
          <w:bCs/>
        </w:rPr>
        <w:t xml:space="preserve">or </w:t>
      </w:r>
      <w:r w:rsidR="00B41DF0">
        <w:rPr>
          <w:bCs/>
        </w:rPr>
        <w:t>an adult working full time</w:t>
      </w:r>
      <w:r w:rsidR="00865A9F">
        <w:rPr>
          <w:bCs/>
        </w:rPr>
        <w:t xml:space="preserve"> and</w:t>
      </w:r>
      <w:r w:rsidR="00B41DF0">
        <w:rPr>
          <w:bCs/>
        </w:rPr>
        <w:t xml:space="preserve"> going to college</w:t>
      </w:r>
      <w:r w:rsidR="003B734E">
        <w:rPr>
          <w:bCs/>
        </w:rPr>
        <w:t xml:space="preserve"> </w:t>
      </w:r>
      <w:r w:rsidR="00B41DF0">
        <w:rPr>
          <w:bCs/>
        </w:rPr>
        <w:t>part-time</w:t>
      </w:r>
      <w:r w:rsidR="00865A9F">
        <w:rPr>
          <w:bCs/>
        </w:rPr>
        <w:t xml:space="preserve"> while</w:t>
      </w:r>
      <w:r w:rsidR="00B41DF0">
        <w:rPr>
          <w:bCs/>
        </w:rPr>
        <w:t xml:space="preserve"> paying for it </w:t>
      </w:r>
      <w:r w:rsidR="00B055A3">
        <w:rPr>
          <w:bCs/>
        </w:rPr>
        <w:t>them self</w:t>
      </w:r>
      <w:r w:rsidR="0047456D">
        <w:rPr>
          <w:bCs/>
        </w:rPr>
        <w:t xml:space="preserve">, </w:t>
      </w:r>
      <w:r w:rsidR="00B41DF0">
        <w:rPr>
          <w:bCs/>
        </w:rPr>
        <w:t xml:space="preserve">contributing to a 529 account is the most tax-efficient way to </w:t>
      </w:r>
      <w:r w:rsidR="0047456D">
        <w:rPr>
          <w:bCs/>
        </w:rPr>
        <w:t>both save for higher education costs and pay for such costs currently</w:t>
      </w:r>
      <w:r w:rsidR="003B734E">
        <w:rPr>
          <w:bCs/>
        </w:rPr>
        <w:t>.</w:t>
      </w:r>
      <w:r w:rsidR="00B41DF0">
        <w:rPr>
          <w:bCs/>
        </w:rPr>
        <w:t xml:space="preserve"> </w:t>
      </w:r>
      <w:r w:rsidR="00B47624">
        <w:rPr>
          <w:bCs/>
        </w:rPr>
        <w:t>This is because of t</w:t>
      </w:r>
      <w:r w:rsidR="00B41DF0">
        <w:rPr>
          <w:bCs/>
        </w:rPr>
        <w:t xml:space="preserve">he </w:t>
      </w:r>
      <w:r w:rsidR="00366E98">
        <w:rPr>
          <w:bCs/>
        </w:rPr>
        <w:t>Missouri state tax deduction for contributions</w:t>
      </w:r>
      <w:r w:rsidR="00CF1DDB">
        <w:rPr>
          <w:bCs/>
        </w:rPr>
        <w:t xml:space="preserve"> to </w:t>
      </w:r>
      <w:r w:rsidR="00366E98">
        <w:rPr>
          <w:bCs/>
        </w:rPr>
        <w:t>the</w:t>
      </w:r>
      <w:r w:rsidR="00B47624">
        <w:rPr>
          <w:bCs/>
        </w:rPr>
        <w:t xml:space="preserve"> </w:t>
      </w:r>
      <w:r w:rsidR="00CF1DDB">
        <w:rPr>
          <w:bCs/>
        </w:rPr>
        <w:t>529 account</w:t>
      </w:r>
      <w:r w:rsidR="00B47624">
        <w:rPr>
          <w:bCs/>
        </w:rPr>
        <w:t xml:space="preserve">. </w:t>
      </w:r>
      <w:r w:rsidR="00EA2A73">
        <w:rPr>
          <w:bCs/>
        </w:rPr>
        <w:t>It is possible for many M</w:t>
      </w:r>
      <w:r>
        <w:rPr>
          <w:bCs/>
        </w:rPr>
        <w:t>issouri</w:t>
      </w:r>
      <w:r w:rsidR="00EA2A73">
        <w:rPr>
          <w:bCs/>
        </w:rPr>
        <w:t xml:space="preserve"> income taxpayers to save this much</w:t>
      </w:r>
      <w:r w:rsidR="00094666">
        <w:rPr>
          <w:bCs/>
        </w:rPr>
        <w:t xml:space="preserve"> </w:t>
      </w:r>
      <w:r w:rsidR="00B47624">
        <w:rPr>
          <w:bCs/>
        </w:rPr>
        <w:t>tax</w:t>
      </w:r>
      <w:r w:rsidR="00094666">
        <w:rPr>
          <w:bCs/>
        </w:rPr>
        <w:t>,</w:t>
      </w:r>
      <w:r w:rsidR="00B47624">
        <w:rPr>
          <w:bCs/>
        </w:rPr>
        <w:t xml:space="preserve"> </w:t>
      </w:r>
      <w:r w:rsidR="00EA2A73">
        <w:rPr>
          <w:bCs/>
        </w:rPr>
        <w:t xml:space="preserve">and </w:t>
      </w:r>
      <w:r w:rsidR="00B47624">
        <w:rPr>
          <w:bCs/>
        </w:rPr>
        <w:t xml:space="preserve">savings from contributing to a 529 account outweigh </w:t>
      </w:r>
      <w:r w:rsidR="00354138">
        <w:rPr>
          <w:bCs/>
        </w:rPr>
        <w:t>any</w:t>
      </w:r>
      <w:r w:rsidR="00865A9F">
        <w:rPr>
          <w:bCs/>
        </w:rPr>
        <w:t xml:space="preserve"> </w:t>
      </w:r>
      <w:r w:rsidR="00B47624">
        <w:rPr>
          <w:bCs/>
        </w:rPr>
        <w:t xml:space="preserve">negative </w:t>
      </w:r>
      <w:r w:rsidR="00354138">
        <w:rPr>
          <w:bCs/>
        </w:rPr>
        <w:t xml:space="preserve">impact </w:t>
      </w:r>
      <w:r w:rsidR="00B47624">
        <w:rPr>
          <w:bCs/>
        </w:rPr>
        <w:t>on federal tax</w:t>
      </w:r>
      <w:r w:rsidR="00094666">
        <w:rPr>
          <w:bCs/>
        </w:rPr>
        <w:t xml:space="preserve"> and/or qualification for</w:t>
      </w:r>
      <w:r w:rsidR="00B47624">
        <w:rPr>
          <w:bCs/>
        </w:rPr>
        <w:t xml:space="preserve"> federal financial aid. </w:t>
      </w:r>
    </w:p>
    <w:p w:rsidR="00366E98" w:rsidRDefault="00366E98" w:rsidP="006D1E69">
      <w:pPr>
        <w:spacing w:line="360" w:lineRule="auto"/>
        <w:rPr>
          <w:bCs/>
        </w:rPr>
      </w:pPr>
    </w:p>
    <w:p w:rsidR="00CB1F90" w:rsidRPr="006F6E8A" w:rsidRDefault="00EA2A73" w:rsidP="006D1E69">
      <w:pPr>
        <w:spacing w:line="360" w:lineRule="auto"/>
        <w:rPr>
          <w:bCs/>
          <w:i/>
        </w:rPr>
      </w:pPr>
      <w:r>
        <w:rPr>
          <w:bCs/>
        </w:rPr>
        <w:t xml:space="preserve">CPAs should especially focus their informational efforts on clients </w:t>
      </w:r>
      <w:r w:rsidR="00865A9F">
        <w:rPr>
          <w:bCs/>
        </w:rPr>
        <w:t>in M</w:t>
      </w:r>
      <w:r w:rsidR="00094666">
        <w:rPr>
          <w:bCs/>
        </w:rPr>
        <w:t>issouri</w:t>
      </w:r>
      <w:r w:rsidR="00865A9F">
        <w:rPr>
          <w:bCs/>
        </w:rPr>
        <w:t xml:space="preserve">’s 6% tax rate bracket </w:t>
      </w:r>
      <w:r>
        <w:rPr>
          <w:bCs/>
        </w:rPr>
        <w:t xml:space="preserve">that </w:t>
      </w:r>
      <w:r w:rsidR="006F6E8A">
        <w:rPr>
          <w:bCs/>
        </w:rPr>
        <w:t xml:space="preserve">are </w:t>
      </w:r>
      <w:r w:rsidR="00354138">
        <w:rPr>
          <w:bCs/>
        </w:rPr>
        <w:t>either currently paying higher education costs or will be doing so in the future</w:t>
      </w:r>
      <w:r w:rsidR="00CB1F90">
        <w:rPr>
          <w:bCs/>
        </w:rPr>
        <w:t xml:space="preserve">. </w:t>
      </w:r>
      <w:r w:rsidR="00354138">
        <w:rPr>
          <w:bCs/>
        </w:rPr>
        <w:t xml:space="preserve">Let </w:t>
      </w:r>
      <w:r>
        <w:rPr>
          <w:bCs/>
        </w:rPr>
        <w:t xml:space="preserve">clients </w:t>
      </w:r>
      <w:r w:rsidR="00094666">
        <w:rPr>
          <w:bCs/>
        </w:rPr>
        <w:t>know that Missouri</w:t>
      </w:r>
      <w:r w:rsidR="00354138">
        <w:rPr>
          <w:bCs/>
        </w:rPr>
        <w:t xml:space="preserve">’s direct-sold MOST </w:t>
      </w:r>
      <w:r w:rsidR="006F6E8A">
        <w:rPr>
          <w:bCs/>
        </w:rPr>
        <w:t xml:space="preserve">account is easy to set up and contribute to, has a very low risk option </w:t>
      </w:r>
      <w:r w:rsidR="007732BA">
        <w:rPr>
          <w:bCs/>
        </w:rPr>
        <w:t>to invest in</w:t>
      </w:r>
      <w:r>
        <w:rPr>
          <w:bCs/>
        </w:rPr>
        <w:t xml:space="preserve"> (</w:t>
      </w:r>
      <w:r w:rsidR="006F6E8A">
        <w:rPr>
          <w:bCs/>
        </w:rPr>
        <w:t xml:space="preserve">the </w:t>
      </w:r>
      <w:r w:rsidR="006F6E8A">
        <w:rPr>
          <w:bCs/>
          <w:i/>
        </w:rPr>
        <w:t xml:space="preserve">Vanguard Interest Accumulation </w:t>
      </w:r>
      <w:r w:rsidR="007732BA">
        <w:rPr>
          <w:bCs/>
          <w:i/>
        </w:rPr>
        <w:t>Portfolio</w:t>
      </w:r>
      <w:r>
        <w:rPr>
          <w:bCs/>
        </w:rPr>
        <w:t>)</w:t>
      </w:r>
      <w:r w:rsidR="007732BA">
        <w:rPr>
          <w:bCs/>
        </w:rPr>
        <w:t xml:space="preserve">, has more </w:t>
      </w:r>
      <w:r>
        <w:rPr>
          <w:bCs/>
        </w:rPr>
        <w:t xml:space="preserve">tax </w:t>
      </w:r>
      <w:r w:rsidR="007732BA">
        <w:rPr>
          <w:bCs/>
        </w:rPr>
        <w:t xml:space="preserve">advantages than a Roth IRA, and allows withdrawals </w:t>
      </w:r>
      <w:r>
        <w:rPr>
          <w:bCs/>
        </w:rPr>
        <w:t xml:space="preserve">shortly after contribution. </w:t>
      </w:r>
    </w:p>
    <w:p w:rsidR="00CB1F90" w:rsidRDefault="00CB1F90" w:rsidP="007B1BA8">
      <w:pPr>
        <w:rPr>
          <w:bCs/>
        </w:rPr>
      </w:pPr>
    </w:p>
    <w:p w:rsidR="00B47624" w:rsidRDefault="00B47624" w:rsidP="007B1BA8">
      <w:pPr>
        <w:rPr>
          <w:bCs/>
        </w:rPr>
      </w:pPr>
    </w:p>
    <w:p w:rsidR="00B47624" w:rsidRDefault="00B47624" w:rsidP="007B1BA8">
      <w:pPr>
        <w:rPr>
          <w:bCs/>
        </w:rPr>
      </w:pPr>
    </w:p>
    <w:p w:rsidR="009A34C4" w:rsidRDefault="004E2FC9" w:rsidP="007B1BA8">
      <w:pPr>
        <w:rPr>
          <w:rFonts w:asciiTheme="majorHAnsi" w:hAnsiTheme="majorHAnsi"/>
          <w:bCs/>
        </w:rPr>
      </w:pPr>
      <w:r w:rsidRPr="00DB49B6">
        <w:rPr>
          <w:rFonts w:asciiTheme="majorHAnsi" w:hAnsiTheme="majorHAnsi"/>
          <w:bCs/>
        </w:rPr>
        <w:t xml:space="preserve">Gregory G. Geisler, PhD, CPA (inactive) is an associate professor of accounting </w:t>
      </w:r>
      <w:r w:rsidR="00DB49B6" w:rsidRPr="00DB49B6">
        <w:rPr>
          <w:rFonts w:asciiTheme="majorHAnsi" w:hAnsiTheme="majorHAnsi"/>
          <w:bCs/>
        </w:rPr>
        <w:t xml:space="preserve">at University of Missouri – St. Louis. Greg </w:t>
      </w:r>
      <w:r w:rsidRPr="00DB49B6">
        <w:rPr>
          <w:rFonts w:asciiTheme="majorHAnsi" w:hAnsiTheme="majorHAnsi"/>
          <w:bCs/>
        </w:rPr>
        <w:t xml:space="preserve">teaches </w:t>
      </w:r>
      <w:r w:rsidR="00861F79">
        <w:rPr>
          <w:rFonts w:asciiTheme="majorHAnsi" w:hAnsiTheme="majorHAnsi"/>
          <w:bCs/>
        </w:rPr>
        <w:t xml:space="preserve">federal income taxation courses to accounting students and </w:t>
      </w:r>
      <w:r w:rsidRPr="00DB49B6">
        <w:rPr>
          <w:rFonts w:asciiTheme="majorHAnsi" w:hAnsiTheme="majorHAnsi"/>
          <w:bCs/>
        </w:rPr>
        <w:t xml:space="preserve">a seminar </w:t>
      </w:r>
      <w:r w:rsidR="00861F79">
        <w:rPr>
          <w:rFonts w:asciiTheme="majorHAnsi" w:hAnsiTheme="majorHAnsi"/>
          <w:bCs/>
        </w:rPr>
        <w:t xml:space="preserve">on taxes and investments to </w:t>
      </w:r>
      <w:r w:rsidR="00DB49B6" w:rsidRPr="00DB49B6">
        <w:rPr>
          <w:rFonts w:asciiTheme="majorHAnsi" w:hAnsiTheme="majorHAnsi"/>
          <w:bCs/>
        </w:rPr>
        <w:t xml:space="preserve">students pursuing the </w:t>
      </w:r>
      <w:r w:rsidRPr="00DB49B6">
        <w:rPr>
          <w:rFonts w:asciiTheme="majorHAnsi" w:hAnsiTheme="majorHAnsi"/>
          <w:bCs/>
        </w:rPr>
        <w:t xml:space="preserve">Master of Accounting </w:t>
      </w:r>
      <w:r w:rsidR="00DB49B6" w:rsidRPr="00DB49B6">
        <w:rPr>
          <w:rFonts w:asciiTheme="majorHAnsi" w:hAnsiTheme="majorHAnsi"/>
          <w:bCs/>
        </w:rPr>
        <w:t xml:space="preserve">degree. Greg can be reached at </w:t>
      </w:r>
      <w:hyperlink r:id="rId6" w:history="1">
        <w:r w:rsidR="003E29A5" w:rsidRPr="007F7480">
          <w:rPr>
            <w:rStyle w:val="Hyperlink"/>
            <w:rFonts w:asciiTheme="majorHAnsi" w:hAnsiTheme="majorHAnsi"/>
            <w:bCs/>
          </w:rPr>
          <w:t>geisler@umsl.edu</w:t>
        </w:r>
      </w:hyperlink>
      <w:r w:rsidR="00DB49B6" w:rsidRPr="00DB49B6">
        <w:rPr>
          <w:rFonts w:asciiTheme="majorHAnsi" w:hAnsiTheme="majorHAnsi"/>
          <w:bCs/>
        </w:rPr>
        <w:t xml:space="preserve">. </w:t>
      </w:r>
    </w:p>
    <w:p w:rsidR="00503580" w:rsidRDefault="00503580" w:rsidP="007B1BA8">
      <w:pPr>
        <w:rPr>
          <w:rFonts w:asciiTheme="majorHAnsi" w:hAnsiTheme="majorHAnsi"/>
          <w:bCs/>
        </w:rPr>
      </w:pPr>
    </w:p>
    <w:p w:rsidR="00503580" w:rsidRPr="00DB49B6" w:rsidRDefault="00503580" w:rsidP="00503580">
      <w:pPr>
        <w:rPr>
          <w:rFonts w:asciiTheme="majorHAnsi" w:hAnsiTheme="majorHAnsi"/>
          <w:bCs/>
        </w:rPr>
      </w:pPr>
      <w:r w:rsidRPr="00DB49B6">
        <w:rPr>
          <w:rFonts w:asciiTheme="majorHAnsi" w:hAnsiTheme="majorHAnsi"/>
          <w:bCs/>
        </w:rPr>
        <w:t>Stephen R. Moehrle PhD, CPA</w:t>
      </w:r>
      <w:r>
        <w:rPr>
          <w:rFonts w:asciiTheme="majorHAnsi" w:hAnsiTheme="majorHAnsi"/>
          <w:bCs/>
        </w:rPr>
        <w:t xml:space="preserve"> </w:t>
      </w:r>
      <w:r w:rsidRPr="00DB49B6">
        <w:rPr>
          <w:rFonts w:asciiTheme="majorHAnsi" w:hAnsiTheme="majorHAnsi"/>
          <w:bCs/>
        </w:rPr>
        <w:t xml:space="preserve">is a professor of accounting at University of Missouri – St. Louis. </w:t>
      </w:r>
      <w:r>
        <w:rPr>
          <w:rFonts w:asciiTheme="majorHAnsi" w:hAnsiTheme="majorHAnsi"/>
          <w:bCs/>
        </w:rPr>
        <w:t xml:space="preserve">Steve </w:t>
      </w:r>
      <w:r w:rsidRPr="00DB49B6">
        <w:rPr>
          <w:rFonts w:asciiTheme="majorHAnsi" w:hAnsiTheme="majorHAnsi"/>
          <w:bCs/>
        </w:rPr>
        <w:t xml:space="preserve">teaches </w:t>
      </w:r>
      <w:r w:rsidR="00BA4A41">
        <w:rPr>
          <w:rFonts w:asciiTheme="majorHAnsi" w:hAnsiTheme="majorHAnsi"/>
          <w:bCs/>
        </w:rPr>
        <w:t xml:space="preserve">financial accounting courses to students pursuing the Master of Accounting degree.  </w:t>
      </w:r>
      <w:r>
        <w:rPr>
          <w:rFonts w:asciiTheme="majorHAnsi" w:hAnsiTheme="majorHAnsi"/>
          <w:bCs/>
        </w:rPr>
        <w:t xml:space="preserve">Steve </w:t>
      </w:r>
      <w:r w:rsidRPr="00DB49B6">
        <w:rPr>
          <w:rFonts w:asciiTheme="majorHAnsi" w:hAnsiTheme="majorHAnsi"/>
          <w:bCs/>
        </w:rPr>
        <w:t xml:space="preserve">can be reached at </w:t>
      </w:r>
      <w:hyperlink r:id="rId7" w:history="1">
        <w:r w:rsidRPr="007F7480">
          <w:rPr>
            <w:rStyle w:val="Hyperlink"/>
            <w:rFonts w:asciiTheme="majorHAnsi" w:hAnsiTheme="majorHAnsi"/>
            <w:bCs/>
          </w:rPr>
          <w:t>moehrle@umsl.edu</w:t>
        </w:r>
      </w:hyperlink>
      <w:r w:rsidRPr="00DB49B6">
        <w:rPr>
          <w:rFonts w:asciiTheme="majorHAnsi" w:hAnsiTheme="majorHAnsi"/>
          <w:bCs/>
        </w:rPr>
        <w:t xml:space="preserve">. </w:t>
      </w:r>
    </w:p>
    <w:p w:rsidR="00503580" w:rsidRPr="005532DB" w:rsidRDefault="00503580" w:rsidP="007B1BA8">
      <w:pPr>
        <w:rPr>
          <w:rFonts w:asciiTheme="majorHAnsi" w:hAnsiTheme="majorHAnsi"/>
          <w:bCs/>
        </w:rPr>
      </w:pPr>
    </w:p>
    <w:sectPr w:rsidR="00503580" w:rsidRPr="005532DB" w:rsidSect="00B1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XNarrow Book">
    <w:altName w:val="Gotham XNarro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4EB"/>
    <w:multiLevelType w:val="hybridMultilevel"/>
    <w:tmpl w:val="5634705E"/>
    <w:lvl w:ilvl="0" w:tplc="A81259D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EF215E"/>
    <w:multiLevelType w:val="hybridMultilevel"/>
    <w:tmpl w:val="2A58E502"/>
    <w:lvl w:ilvl="0" w:tplc="A28A279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2A7238"/>
    <w:multiLevelType w:val="hybridMultilevel"/>
    <w:tmpl w:val="275EBA32"/>
    <w:lvl w:ilvl="0" w:tplc="83E66C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D4216C"/>
    <w:multiLevelType w:val="multilevel"/>
    <w:tmpl w:val="A37A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compat/>
  <w:docVars>
    <w:docVar w:name="dgnword-docGUID" w:val="{7F705116-C442-4407-9B2E-794930F4055E}"/>
    <w:docVar w:name="dgnword-eventsink" w:val="75867576"/>
  </w:docVars>
  <w:rsids>
    <w:rsidRoot w:val="001C318E"/>
    <w:rsid w:val="00004C03"/>
    <w:rsid w:val="00004D84"/>
    <w:rsid w:val="00034FD7"/>
    <w:rsid w:val="0004226A"/>
    <w:rsid w:val="00042C40"/>
    <w:rsid w:val="0006357A"/>
    <w:rsid w:val="000677C3"/>
    <w:rsid w:val="00081369"/>
    <w:rsid w:val="00094666"/>
    <w:rsid w:val="000A4C9B"/>
    <w:rsid w:val="000B158C"/>
    <w:rsid w:val="000B56B4"/>
    <w:rsid w:val="000C1A7F"/>
    <w:rsid w:val="000E14E2"/>
    <w:rsid w:val="000E7746"/>
    <w:rsid w:val="00104498"/>
    <w:rsid w:val="0011201E"/>
    <w:rsid w:val="00120E5F"/>
    <w:rsid w:val="00124769"/>
    <w:rsid w:val="00131A87"/>
    <w:rsid w:val="00145194"/>
    <w:rsid w:val="00164FCD"/>
    <w:rsid w:val="0017726F"/>
    <w:rsid w:val="001C2F8F"/>
    <w:rsid w:val="001C318E"/>
    <w:rsid w:val="001C4FD0"/>
    <w:rsid w:val="001C696F"/>
    <w:rsid w:val="001E0DF9"/>
    <w:rsid w:val="0020141B"/>
    <w:rsid w:val="002018D9"/>
    <w:rsid w:val="00212D36"/>
    <w:rsid w:val="002447D6"/>
    <w:rsid w:val="002B6B8E"/>
    <w:rsid w:val="002D0FEE"/>
    <w:rsid w:val="002D2887"/>
    <w:rsid w:val="002D364C"/>
    <w:rsid w:val="002E1635"/>
    <w:rsid w:val="002E338E"/>
    <w:rsid w:val="002F2B58"/>
    <w:rsid w:val="0031118C"/>
    <w:rsid w:val="00354138"/>
    <w:rsid w:val="0036554F"/>
    <w:rsid w:val="00366E98"/>
    <w:rsid w:val="00395D52"/>
    <w:rsid w:val="00396CF6"/>
    <w:rsid w:val="003B15A2"/>
    <w:rsid w:val="003B3C6A"/>
    <w:rsid w:val="003B5739"/>
    <w:rsid w:val="003B734E"/>
    <w:rsid w:val="003C1614"/>
    <w:rsid w:val="003C3E0C"/>
    <w:rsid w:val="003C772A"/>
    <w:rsid w:val="003D0637"/>
    <w:rsid w:val="003E29A5"/>
    <w:rsid w:val="003E4DE9"/>
    <w:rsid w:val="003F35E6"/>
    <w:rsid w:val="003F523A"/>
    <w:rsid w:val="003F62B9"/>
    <w:rsid w:val="004100BD"/>
    <w:rsid w:val="004174BB"/>
    <w:rsid w:val="00434019"/>
    <w:rsid w:val="00435C35"/>
    <w:rsid w:val="00452961"/>
    <w:rsid w:val="00452970"/>
    <w:rsid w:val="00453CDA"/>
    <w:rsid w:val="004575DC"/>
    <w:rsid w:val="004629A1"/>
    <w:rsid w:val="00466100"/>
    <w:rsid w:val="0047456D"/>
    <w:rsid w:val="004A1703"/>
    <w:rsid w:val="004B309E"/>
    <w:rsid w:val="004C2EFC"/>
    <w:rsid w:val="004D6770"/>
    <w:rsid w:val="004E2FC9"/>
    <w:rsid w:val="004E4FAA"/>
    <w:rsid w:val="004F69AF"/>
    <w:rsid w:val="00503580"/>
    <w:rsid w:val="00503F16"/>
    <w:rsid w:val="00506A27"/>
    <w:rsid w:val="00515D38"/>
    <w:rsid w:val="00517AE8"/>
    <w:rsid w:val="00545188"/>
    <w:rsid w:val="00550EA4"/>
    <w:rsid w:val="005512C4"/>
    <w:rsid w:val="005532DB"/>
    <w:rsid w:val="00560702"/>
    <w:rsid w:val="005740A9"/>
    <w:rsid w:val="00575D8A"/>
    <w:rsid w:val="0058229A"/>
    <w:rsid w:val="005A054E"/>
    <w:rsid w:val="005A120A"/>
    <w:rsid w:val="005A3974"/>
    <w:rsid w:val="005B130E"/>
    <w:rsid w:val="005B7CD9"/>
    <w:rsid w:val="005C4C8A"/>
    <w:rsid w:val="005D26BA"/>
    <w:rsid w:val="005D6E3D"/>
    <w:rsid w:val="005F5879"/>
    <w:rsid w:val="005F7ED9"/>
    <w:rsid w:val="00606D40"/>
    <w:rsid w:val="00612F6A"/>
    <w:rsid w:val="00613C37"/>
    <w:rsid w:val="00626887"/>
    <w:rsid w:val="006569EC"/>
    <w:rsid w:val="00667670"/>
    <w:rsid w:val="006803F9"/>
    <w:rsid w:val="006A77CE"/>
    <w:rsid w:val="006B2E3E"/>
    <w:rsid w:val="006D1E69"/>
    <w:rsid w:val="006D26D3"/>
    <w:rsid w:val="006E0C53"/>
    <w:rsid w:val="006E19B2"/>
    <w:rsid w:val="006E7275"/>
    <w:rsid w:val="006F68B2"/>
    <w:rsid w:val="006F6E8A"/>
    <w:rsid w:val="007132D6"/>
    <w:rsid w:val="00726220"/>
    <w:rsid w:val="00734D49"/>
    <w:rsid w:val="0074204A"/>
    <w:rsid w:val="00750684"/>
    <w:rsid w:val="00750ACD"/>
    <w:rsid w:val="00754E68"/>
    <w:rsid w:val="007624AB"/>
    <w:rsid w:val="007732BA"/>
    <w:rsid w:val="00782E1E"/>
    <w:rsid w:val="007A09AE"/>
    <w:rsid w:val="007A5563"/>
    <w:rsid w:val="007A6B6E"/>
    <w:rsid w:val="007B1BA8"/>
    <w:rsid w:val="007C4390"/>
    <w:rsid w:val="007D697C"/>
    <w:rsid w:val="007E5113"/>
    <w:rsid w:val="00801D58"/>
    <w:rsid w:val="008145CE"/>
    <w:rsid w:val="008416D2"/>
    <w:rsid w:val="00842B05"/>
    <w:rsid w:val="00861F79"/>
    <w:rsid w:val="00865A9F"/>
    <w:rsid w:val="008710C5"/>
    <w:rsid w:val="008911A7"/>
    <w:rsid w:val="00891AB7"/>
    <w:rsid w:val="008B26F9"/>
    <w:rsid w:val="008B4D73"/>
    <w:rsid w:val="008C38E1"/>
    <w:rsid w:val="008E4E9D"/>
    <w:rsid w:val="008E64DD"/>
    <w:rsid w:val="009060EE"/>
    <w:rsid w:val="00915912"/>
    <w:rsid w:val="00916BC8"/>
    <w:rsid w:val="0093138E"/>
    <w:rsid w:val="00940ECE"/>
    <w:rsid w:val="00943419"/>
    <w:rsid w:val="00944839"/>
    <w:rsid w:val="00950A15"/>
    <w:rsid w:val="009600F5"/>
    <w:rsid w:val="00960D7F"/>
    <w:rsid w:val="00972CF9"/>
    <w:rsid w:val="00974FEA"/>
    <w:rsid w:val="00976244"/>
    <w:rsid w:val="00986AE4"/>
    <w:rsid w:val="00997A77"/>
    <w:rsid w:val="009A34C4"/>
    <w:rsid w:val="009A3BBE"/>
    <w:rsid w:val="009A4BC2"/>
    <w:rsid w:val="009B5870"/>
    <w:rsid w:val="009D66DA"/>
    <w:rsid w:val="009E06FD"/>
    <w:rsid w:val="009E5CD5"/>
    <w:rsid w:val="009F2D5C"/>
    <w:rsid w:val="009F4FBC"/>
    <w:rsid w:val="00A1560B"/>
    <w:rsid w:val="00A16ABB"/>
    <w:rsid w:val="00A2500F"/>
    <w:rsid w:val="00A34DAA"/>
    <w:rsid w:val="00A42713"/>
    <w:rsid w:val="00A446B6"/>
    <w:rsid w:val="00A57BE7"/>
    <w:rsid w:val="00A61552"/>
    <w:rsid w:val="00A61804"/>
    <w:rsid w:val="00A9275A"/>
    <w:rsid w:val="00AA05C3"/>
    <w:rsid w:val="00AB7C83"/>
    <w:rsid w:val="00AC4375"/>
    <w:rsid w:val="00AD01A8"/>
    <w:rsid w:val="00AD0212"/>
    <w:rsid w:val="00AD70D1"/>
    <w:rsid w:val="00AF4335"/>
    <w:rsid w:val="00AF677F"/>
    <w:rsid w:val="00B00AC6"/>
    <w:rsid w:val="00B055A3"/>
    <w:rsid w:val="00B15698"/>
    <w:rsid w:val="00B233C8"/>
    <w:rsid w:val="00B2395F"/>
    <w:rsid w:val="00B360DA"/>
    <w:rsid w:val="00B41DF0"/>
    <w:rsid w:val="00B4378A"/>
    <w:rsid w:val="00B47624"/>
    <w:rsid w:val="00B720CA"/>
    <w:rsid w:val="00B87EC2"/>
    <w:rsid w:val="00BA43F6"/>
    <w:rsid w:val="00BA4A41"/>
    <w:rsid w:val="00BD01E2"/>
    <w:rsid w:val="00BE4420"/>
    <w:rsid w:val="00BF506C"/>
    <w:rsid w:val="00C03530"/>
    <w:rsid w:val="00C05886"/>
    <w:rsid w:val="00C108E0"/>
    <w:rsid w:val="00C32C6B"/>
    <w:rsid w:val="00C5551B"/>
    <w:rsid w:val="00C65EB3"/>
    <w:rsid w:val="00C66080"/>
    <w:rsid w:val="00C807D0"/>
    <w:rsid w:val="00C90F12"/>
    <w:rsid w:val="00C954F2"/>
    <w:rsid w:val="00CA44DE"/>
    <w:rsid w:val="00CA68D1"/>
    <w:rsid w:val="00CB1F90"/>
    <w:rsid w:val="00CF1DDB"/>
    <w:rsid w:val="00CF68E1"/>
    <w:rsid w:val="00D06843"/>
    <w:rsid w:val="00D269AA"/>
    <w:rsid w:val="00D44FBB"/>
    <w:rsid w:val="00D52065"/>
    <w:rsid w:val="00D612EC"/>
    <w:rsid w:val="00D65CC0"/>
    <w:rsid w:val="00D70474"/>
    <w:rsid w:val="00D71E77"/>
    <w:rsid w:val="00D82068"/>
    <w:rsid w:val="00D85ED2"/>
    <w:rsid w:val="00D86520"/>
    <w:rsid w:val="00DB49B6"/>
    <w:rsid w:val="00DC3E2B"/>
    <w:rsid w:val="00DD72E4"/>
    <w:rsid w:val="00DE32F0"/>
    <w:rsid w:val="00DE4ABC"/>
    <w:rsid w:val="00DF17EC"/>
    <w:rsid w:val="00DF67C8"/>
    <w:rsid w:val="00E0687A"/>
    <w:rsid w:val="00E177A4"/>
    <w:rsid w:val="00E21E0D"/>
    <w:rsid w:val="00E456E6"/>
    <w:rsid w:val="00E50049"/>
    <w:rsid w:val="00E547D2"/>
    <w:rsid w:val="00E574D5"/>
    <w:rsid w:val="00E616CB"/>
    <w:rsid w:val="00E668AD"/>
    <w:rsid w:val="00E95A78"/>
    <w:rsid w:val="00E97D87"/>
    <w:rsid w:val="00EA2A73"/>
    <w:rsid w:val="00EB3B15"/>
    <w:rsid w:val="00EB6483"/>
    <w:rsid w:val="00EB7B3A"/>
    <w:rsid w:val="00EC5350"/>
    <w:rsid w:val="00ED2540"/>
    <w:rsid w:val="00ED2FC0"/>
    <w:rsid w:val="00ED4158"/>
    <w:rsid w:val="00EE02E2"/>
    <w:rsid w:val="00F007EB"/>
    <w:rsid w:val="00F10C59"/>
    <w:rsid w:val="00F16FF9"/>
    <w:rsid w:val="00F21155"/>
    <w:rsid w:val="00F342F8"/>
    <w:rsid w:val="00F56DA1"/>
    <w:rsid w:val="00FA3436"/>
    <w:rsid w:val="00FC3932"/>
    <w:rsid w:val="00FC5670"/>
    <w:rsid w:val="00F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1E2"/>
    <w:rPr>
      <w:sz w:val="24"/>
      <w:szCs w:val="24"/>
    </w:rPr>
  </w:style>
  <w:style w:type="paragraph" w:styleId="Heading1">
    <w:name w:val="heading 1"/>
    <w:basedOn w:val="Normal"/>
    <w:next w:val="Normal"/>
    <w:qFormat/>
    <w:rsid w:val="00BD01E2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0F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D0F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1B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3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0101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2153">
                      <w:marLeft w:val="0"/>
                      <w:marRight w:val="0"/>
                      <w:marTop w:val="3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536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4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8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09">
                      <w:marLeft w:val="6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5355">
                          <w:marLeft w:val="132"/>
                          <w:marRight w:val="132"/>
                          <w:marTop w:val="132"/>
                          <w:marBottom w:val="132"/>
                          <w:divBdr>
                            <w:top w:val="single" w:sz="4" w:space="0" w:color="676767"/>
                            <w:left w:val="none" w:sz="0" w:space="0" w:color="auto"/>
                            <w:bottom w:val="single" w:sz="4" w:space="0" w:color="676767"/>
                            <w:right w:val="none" w:sz="0" w:space="0" w:color="auto"/>
                          </w:divBdr>
                          <w:divsChild>
                            <w:div w:id="2329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7684">
                                  <w:marLeft w:val="0"/>
                                  <w:marRight w:val="53"/>
                                  <w:marTop w:val="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04322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55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3241">
                                  <w:marLeft w:val="0"/>
                                  <w:marRight w:val="53"/>
                                  <w:marTop w:val="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3481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3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5174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8938">
                      <w:marLeft w:val="0"/>
                      <w:marRight w:val="0"/>
                      <w:marTop w:val="3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5660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7493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9906">
                      <w:marLeft w:val="0"/>
                      <w:marRight w:val="0"/>
                      <w:marTop w:val="3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2731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8729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0737">
                      <w:marLeft w:val="0"/>
                      <w:marRight w:val="0"/>
                      <w:marTop w:val="3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7295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ehrle@ums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isler@ums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BC3C-5259-4461-838C-3CDDB637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1666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StateofMissouri1040</vt:lpstr>
    </vt:vector>
  </TitlesOfParts>
  <Company>UM-St. Louis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StateofMissouri1040</dc:title>
  <dc:subject/>
  <dc:creator>Desktop System Plan</dc:creator>
  <cp:keywords/>
  <dc:description/>
  <cp:lastModifiedBy>Greg Geisler</cp:lastModifiedBy>
  <cp:revision>2</cp:revision>
  <cp:lastPrinted>2009-06-11T14:35:00Z</cp:lastPrinted>
  <dcterms:created xsi:type="dcterms:W3CDTF">2011-08-05T01:13:00Z</dcterms:created>
  <dcterms:modified xsi:type="dcterms:W3CDTF">2011-08-05T01:13:00Z</dcterms:modified>
</cp:coreProperties>
</file>